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00845" w14:textId="30439C01" w:rsidR="005C59E8" w:rsidRPr="005E1895" w:rsidRDefault="005E1895" w:rsidP="005E1895">
      <w:pPr>
        <w:spacing w:after="0" w:line="240" w:lineRule="auto"/>
        <w:jc w:val="center"/>
        <w:rPr>
          <w:rFonts w:ascii="Verdana" w:hAnsi="Verdana"/>
          <w:b/>
          <w:bCs/>
          <w:sz w:val="32"/>
          <w:szCs w:val="32"/>
        </w:rPr>
      </w:pPr>
      <w:r w:rsidRPr="005E1895">
        <w:rPr>
          <w:rFonts w:ascii="Verdana" w:hAnsi="Verdana"/>
          <w:b/>
          <w:bCs/>
          <w:sz w:val="32"/>
          <w:szCs w:val="32"/>
        </w:rPr>
        <w:t>MINUTES</w:t>
      </w:r>
      <w:r w:rsidR="000B29DB">
        <w:rPr>
          <w:rFonts w:ascii="Verdana" w:hAnsi="Verdana"/>
          <w:b/>
          <w:bCs/>
          <w:sz w:val="32"/>
          <w:szCs w:val="32"/>
        </w:rPr>
        <w:t xml:space="preserve"> of DECISIONS MADE – April – May 2020</w:t>
      </w:r>
    </w:p>
    <w:p w14:paraId="242CC8F6" w14:textId="40F9CBFC" w:rsidR="005E1895" w:rsidRPr="005E1895" w:rsidRDefault="005E1895" w:rsidP="005E1895">
      <w:pPr>
        <w:spacing w:after="0" w:line="240" w:lineRule="auto"/>
        <w:jc w:val="center"/>
        <w:rPr>
          <w:rFonts w:ascii="Verdana" w:hAnsi="Verdana"/>
          <w:b/>
          <w:bCs/>
          <w:sz w:val="24"/>
          <w:szCs w:val="24"/>
        </w:rPr>
      </w:pPr>
      <w:r w:rsidRPr="005E1895">
        <w:rPr>
          <w:rFonts w:ascii="Verdana" w:hAnsi="Verdana"/>
          <w:b/>
          <w:bCs/>
          <w:sz w:val="24"/>
          <w:szCs w:val="24"/>
        </w:rPr>
        <w:t>GREAT MAPLESTEAD PARISH COUNCIL</w:t>
      </w:r>
    </w:p>
    <w:p w14:paraId="4A13636E" w14:textId="17C7F43A" w:rsidR="005E1895" w:rsidRPr="007E2B7D" w:rsidRDefault="000B29DB" w:rsidP="000B29DB">
      <w:pPr>
        <w:spacing w:after="0" w:line="240" w:lineRule="auto"/>
        <w:jc w:val="center"/>
        <w:rPr>
          <w:rFonts w:ascii="Verdana" w:hAnsi="Verdana"/>
          <w:b/>
          <w:bCs/>
          <w:sz w:val="22"/>
          <w:szCs w:val="22"/>
        </w:rPr>
      </w:pPr>
      <w:r>
        <w:rPr>
          <w:rFonts w:ascii="Verdana" w:hAnsi="Verdana"/>
          <w:b/>
          <w:bCs/>
          <w:sz w:val="22"/>
          <w:szCs w:val="22"/>
        </w:rPr>
        <w:t>Covid 19 Lockdown</w:t>
      </w:r>
    </w:p>
    <w:p w14:paraId="0F2AE54E" w14:textId="6BFA7DA4" w:rsidR="005E1895" w:rsidRDefault="000B29DB" w:rsidP="005E1895">
      <w:pPr>
        <w:spacing w:after="0" w:line="240" w:lineRule="auto"/>
        <w:rPr>
          <w:rFonts w:ascii="Verdana" w:hAnsi="Verdana"/>
        </w:rPr>
      </w:pPr>
      <w:r>
        <w:rPr>
          <w:rFonts w:ascii="Verdana" w:hAnsi="Verdana"/>
        </w:rPr>
        <w:t>Due to the Covid 19 emergency measures introduced by the UK government in response to the Covid 19 virus, normal council proceedings were suspended from 23 March 2020.</w:t>
      </w:r>
    </w:p>
    <w:p w14:paraId="03B2EB70" w14:textId="01FEE44F" w:rsidR="000B29DB" w:rsidRDefault="000B29DB" w:rsidP="005E1895">
      <w:pPr>
        <w:spacing w:after="0" w:line="240" w:lineRule="auto"/>
        <w:rPr>
          <w:rFonts w:ascii="Verdana" w:hAnsi="Verdana"/>
        </w:rPr>
      </w:pPr>
    </w:p>
    <w:p w14:paraId="2A895C27" w14:textId="730F4701" w:rsidR="000B29DB" w:rsidRDefault="000B29DB" w:rsidP="005E1895">
      <w:pPr>
        <w:spacing w:after="0" w:line="240" w:lineRule="auto"/>
        <w:rPr>
          <w:rFonts w:ascii="Verdana" w:hAnsi="Verdana"/>
        </w:rPr>
      </w:pPr>
      <w:r>
        <w:rPr>
          <w:rFonts w:ascii="Verdana" w:hAnsi="Verdana"/>
        </w:rPr>
        <w:t>In accordance with government guidance, emergency Standing Orders were adopted by the council on 20</w:t>
      </w:r>
      <w:r w:rsidRPr="000B29DB">
        <w:rPr>
          <w:rFonts w:ascii="Verdana" w:hAnsi="Verdana"/>
          <w:vertAlign w:val="superscript"/>
        </w:rPr>
        <w:t>th</w:t>
      </w:r>
      <w:r>
        <w:rPr>
          <w:rFonts w:ascii="Verdana" w:hAnsi="Verdana"/>
        </w:rPr>
        <w:t xml:space="preserve"> April 2020, these may be viewed on the parish council’s website.</w:t>
      </w:r>
    </w:p>
    <w:p w14:paraId="2C23F8AF" w14:textId="7B082D35" w:rsidR="000B29DB" w:rsidRDefault="000B29DB" w:rsidP="005E1895">
      <w:pPr>
        <w:spacing w:after="0" w:line="240" w:lineRule="auto"/>
        <w:rPr>
          <w:rFonts w:ascii="Verdana" w:hAnsi="Verdana"/>
        </w:rPr>
      </w:pPr>
    </w:p>
    <w:p w14:paraId="03BB5014" w14:textId="2766B74B" w:rsidR="000B29DB" w:rsidRDefault="000B29DB" w:rsidP="005E1895">
      <w:pPr>
        <w:spacing w:after="0" w:line="240" w:lineRule="auto"/>
        <w:rPr>
          <w:rFonts w:ascii="Verdana" w:hAnsi="Verdana"/>
        </w:rPr>
      </w:pPr>
      <w:r>
        <w:rPr>
          <w:rFonts w:ascii="Verdana" w:hAnsi="Verdana"/>
        </w:rPr>
        <w:t>The council</w:t>
      </w:r>
      <w:r w:rsidR="00826320">
        <w:rPr>
          <w:rFonts w:ascii="Verdana" w:hAnsi="Verdana"/>
        </w:rPr>
        <w:t xml:space="preserve"> has elected to conduct business via e-mail, unless the Clerk or 2 or more Councillors call for a public debate. A formal meeting and public debate will be hosted via a video conference call, in accordance with government and NALC guidelines</w:t>
      </w:r>
      <w:r w:rsidR="00E20741">
        <w:rPr>
          <w:rFonts w:ascii="Verdana" w:hAnsi="Verdana"/>
        </w:rPr>
        <w:t xml:space="preserve"> and subject to restricted broadband reception within Great Maplestead</w:t>
      </w:r>
      <w:r w:rsidR="00826320">
        <w:rPr>
          <w:rFonts w:ascii="Verdana" w:hAnsi="Verdana"/>
        </w:rPr>
        <w:t>. Copies of email decisions will be retained by the Clerk and decisions minuted.</w:t>
      </w:r>
    </w:p>
    <w:p w14:paraId="7720C62C" w14:textId="77777777" w:rsidR="000B29DB" w:rsidRPr="005E1895" w:rsidRDefault="000B29DB" w:rsidP="005E1895">
      <w:pPr>
        <w:spacing w:after="0" w:line="240" w:lineRule="auto"/>
        <w:rPr>
          <w:rFonts w:ascii="Verdana" w:hAnsi="Verdana"/>
        </w:rPr>
      </w:pPr>
    </w:p>
    <w:p w14:paraId="4286DC88" w14:textId="77777777" w:rsidR="002F3667" w:rsidRPr="00924100" w:rsidRDefault="002F3667" w:rsidP="00AF3BDD">
      <w:pPr>
        <w:pStyle w:val="ListParagraph"/>
        <w:ind w:left="0"/>
        <w:rPr>
          <w:rFonts w:ascii="Verdana" w:hAnsi="Verdana"/>
          <w:sz w:val="16"/>
          <w:szCs w:val="16"/>
        </w:rPr>
      </w:pPr>
    </w:p>
    <w:p w14:paraId="2F5FE3AC" w14:textId="731ED39D" w:rsidR="007E2B7D" w:rsidRDefault="007E2B7D" w:rsidP="005E1895">
      <w:pPr>
        <w:pStyle w:val="ListParagraph"/>
        <w:numPr>
          <w:ilvl w:val="0"/>
          <w:numId w:val="25"/>
        </w:numPr>
        <w:tabs>
          <w:tab w:val="left" w:pos="426"/>
        </w:tabs>
        <w:spacing w:after="0" w:line="240" w:lineRule="auto"/>
        <w:ind w:left="0" w:firstLine="0"/>
        <w:rPr>
          <w:rFonts w:ascii="Verdana" w:hAnsi="Verdana"/>
          <w:b/>
          <w:bCs/>
          <w:sz w:val="22"/>
          <w:szCs w:val="22"/>
          <w:u w:val="single"/>
        </w:rPr>
      </w:pPr>
      <w:r>
        <w:rPr>
          <w:rFonts w:ascii="Verdana" w:hAnsi="Verdana"/>
          <w:b/>
          <w:bCs/>
          <w:sz w:val="22"/>
          <w:szCs w:val="22"/>
          <w:u w:val="single"/>
        </w:rPr>
        <w:t xml:space="preserve">Business </w:t>
      </w:r>
      <w:r w:rsidR="00826320">
        <w:rPr>
          <w:rFonts w:ascii="Verdana" w:hAnsi="Verdana"/>
          <w:b/>
          <w:bCs/>
          <w:sz w:val="22"/>
          <w:szCs w:val="22"/>
          <w:u w:val="single"/>
        </w:rPr>
        <w:t>Decisions</w:t>
      </w:r>
    </w:p>
    <w:p w14:paraId="00A926FA" w14:textId="77B03D0E" w:rsidR="00826320" w:rsidRDefault="00826320" w:rsidP="00A60B0C">
      <w:pPr>
        <w:pStyle w:val="ListParagraph"/>
        <w:numPr>
          <w:ilvl w:val="0"/>
          <w:numId w:val="28"/>
        </w:numPr>
        <w:tabs>
          <w:tab w:val="left" w:pos="426"/>
        </w:tabs>
        <w:spacing w:after="0" w:line="240" w:lineRule="auto"/>
        <w:rPr>
          <w:rFonts w:ascii="Verdana" w:hAnsi="Verdana"/>
          <w:sz w:val="22"/>
          <w:szCs w:val="22"/>
        </w:rPr>
      </w:pPr>
      <w:r w:rsidRPr="00A60B0C">
        <w:rPr>
          <w:rFonts w:ascii="Verdana" w:hAnsi="Verdana"/>
          <w:sz w:val="22"/>
          <w:szCs w:val="22"/>
        </w:rPr>
        <w:t>20</w:t>
      </w:r>
      <w:r w:rsidRPr="00A60B0C">
        <w:rPr>
          <w:rFonts w:ascii="Verdana" w:hAnsi="Verdana"/>
          <w:sz w:val="22"/>
          <w:szCs w:val="22"/>
          <w:vertAlign w:val="superscript"/>
        </w:rPr>
        <w:t>th</w:t>
      </w:r>
      <w:r w:rsidRPr="00A60B0C">
        <w:rPr>
          <w:rFonts w:ascii="Verdana" w:hAnsi="Verdana"/>
          <w:sz w:val="22"/>
          <w:szCs w:val="22"/>
        </w:rPr>
        <w:t xml:space="preserve"> April 2020 – Emergency Standing Orders adopted</w:t>
      </w:r>
      <w:r w:rsidR="00864253">
        <w:rPr>
          <w:rFonts w:ascii="Verdana" w:hAnsi="Verdana"/>
          <w:sz w:val="22"/>
          <w:szCs w:val="22"/>
        </w:rPr>
        <w:t>, to ensure continued council operation during lockdown restrictions</w:t>
      </w:r>
      <w:r w:rsidRPr="00A60B0C">
        <w:rPr>
          <w:rFonts w:ascii="Verdana" w:hAnsi="Verdana"/>
          <w:sz w:val="22"/>
          <w:szCs w:val="22"/>
        </w:rPr>
        <w:t>. Vote in favour – Unanimous</w:t>
      </w:r>
    </w:p>
    <w:p w14:paraId="6DAFDE3F" w14:textId="491716FB" w:rsidR="00A60B0C" w:rsidRDefault="00A60B0C" w:rsidP="00A60B0C">
      <w:pPr>
        <w:pStyle w:val="ListParagraph"/>
        <w:numPr>
          <w:ilvl w:val="0"/>
          <w:numId w:val="28"/>
        </w:numPr>
        <w:tabs>
          <w:tab w:val="left" w:pos="426"/>
        </w:tabs>
        <w:spacing w:after="0" w:line="240" w:lineRule="auto"/>
        <w:rPr>
          <w:rFonts w:ascii="Verdana" w:hAnsi="Verdana"/>
          <w:sz w:val="22"/>
          <w:szCs w:val="22"/>
        </w:rPr>
      </w:pPr>
      <w:r>
        <w:rPr>
          <w:rFonts w:ascii="Verdana" w:hAnsi="Verdana"/>
          <w:sz w:val="22"/>
          <w:szCs w:val="22"/>
        </w:rPr>
        <w:t>Review and renewal of annual council insurance with BHIB at £</w:t>
      </w:r>
      <w:r w:rsidR="00AD746C">
        <w:rPr>
          <w:rFonts w:ascii="Verdana" w:hAnsi="Verdana"/>
          <w:sz w:val="22"/>
          <w:szCs w:val="22"/>
        </w:rPr>
        <w:t>209.25. A minimal increase and the agreement also allows free subscription to Parish Online. The council’s experience with BHIB in past 12 months has been favourable, following claim for replacement defibrillator.</w:t>
      </w:r>
      <w:r>
        <w:rPr>
          <w:rFonts w:ascii="Verdana" w:hAnsi="Verdana"/>
          <w:sz w:val="22"/>
          <w:szCs w:val="22"/>
        </w:rPr>
        <w:t xml:space="preserve"> Vote in favour</w:t>
      </w:r>
      <w:r w:rsidR="00AD746C">
        <w:rPr>
          <w:rFonts w:ascii="Verdana" w:hAnsi="Verdana"/>
          <w:sz w:val="22"/>
          <w:szCs w:val="22"/>
        </w:rPr>
        <w:t xml:space="preserve"> to renew with BHIB</w:t>
      </w:r>
      <w:r>
        <w:rPr>
          <w:rFonts w:ascii="Verdana" w:hAnsi="Verdana"/>
          <w:sz w:val="22"/>
          <w:szCs w:val="22"/>
        </w:rPr>
        <w:t xml:space="preserve"> – Unanimous</w:t>
      </w:r>
    </w:p>
    <w:p w14:paraId="35964081" w14:textId="3598D307" w:rsidR="00A60B0C" w:rsidRDefault="00A60B0C" w:rsidP="00A60B0C">
      <w:pPr>
        <w:pStyle w:val="ListParagraph"/>
        <w:numPr>
          <w:ilvl w:val="0"/>
          <w:numId w:val="28"/>
        </w:numPr>
        <w:tabs>
          <w:tab w:val="left" w:pos="426"/>
        </w:tabs>
        <w:spacing w:after="0" w:line="240" w:lineRule="auto"/>
        <w:rPr>
          <w:rFonts w:ascii="Verdana" w:hAnsi="Verdana"/>
          <w:sz w:val="22"/>
          <w:szCs w:val="22"/>
        </w:rPr>
      </w:pPr>
      <w:r>
        <w:rPr>
          <w:rFonts w:ascii="Verdana" w:hAnsi="Verdana"/>
          <w:sz w:val="22"/>
          <w:szCs w:val="22"/>
        </w:rPr>
        <w:t>To appoint a new internal auditor, with sector specific experience</w:t>
      </w:r>
      <w:r w:rsidR="00864253">
        <w:rPr>
          <w:rFonts w:ascii="Verdana" w:hAnsi="Verdana"/>
          <w:sz w:val="22"/>
          <w:szCs w:val="22"/>
        </w:rPr>
        <w:t xml:space="preserve"> and good understanding of the AGAR process. Review of locally available expertise undertaken in collaboration with the Clerks of Castle Hedingham &amp; Little Maplestead parish councils. Mike Letch of Letchwood, known to all 3 Clerks and considered to have a good understanding of small councils. Mike Letch has also worked with the Clerk on specific training areas in the past. Cost per annum £125.00. Vote in favour – Unanimous</w:t>
      </w:r>
    </w:p>
    <w:p w14:paraId="42E4854A" w14:textId="5AEBABB0" w:rsidR="00AD746C" w:rsidRDefault="00AD746C" w:rsidP="00A60B0C">
      <w:pPr>
        <w:pStyle w:val="ListParagraph"/>
        <w:numPr>
          <w:ilvl w:val="0"/>
          <w:numId w:val="28"/>
        </w:numPr>
        <w:tabs>
          <w:tab w:val="left" w:pos="426"/>
        </w:tabs>
        <w:spacing w:after="0" w:line="240" w:lineRule="auto"/>
        <w:rPr>
          <w:rFonts w:ascii="Verdana" w:hAnsi="Verdana"/>
          <w:sz w:val="22"/>
          <w:szCs w:val="22"/>
        </w:rPr>
      </w:pPr>
      <w:r>
        <w:rPr>
          <w:rFonts w:ascii="Verdana" w:hAnsi="Verdana"/>
          <w:sz w:val="22"/>
          <w:szCs w:val="22"/>
        </w:rPr>
        <w:t>Parishioner request to lay a decorated stone line along the telegraph pole border to the village playing field car park. The council considered the proposed location unsafe but worked with the applicant to secure an alternative, safer and mutually agreed site at the Village Hall.</w:t>
      </w:r>
    </w:p>
    <w:p w14:paraId="7426B7C7" w14:textId="504C9B0E" w:rsidR="00E86E59" w:rsidRDefault="00826320" w:rsidP="00864253">
      <w:pPr>
        <w:tabs>
          <w:tab w:val="left" w:pos="426"/>
        </w:tabs>
        <w:spacing w:after="0" w:line="240" w:lineRule="auto"/>
        <w:rPr>
          <w:rFonts w:ascii="Verdana" w:hAnsi="Verdana"/>
          <w:sz w:val="16"/>
          <w:szCs w:val="16"/>
        </w:rPr>
      </w:pPr>
      <w:r>
        <w:rPr>
          <w:rFonts w:ascii="Verdana" w:hAnsi="Verdana"/>
          <w:sz w:val="16"/>
          <w:szCs w:val="16"/>
        </w:rPr>
        <w:tab/>
      </w:r>
    </w:p>
    <w:p w14:paraId="2CE73E31" w14:textId="00B321A8" w:rsidR="00826320" w:rsidRDefault="00826320" w:rsidP="00E86E59">
      <w:pPr>
        <w:tabs>
          <w:tab w:val="left" w:pos="567"/>
        </w:tabs>
        <w:spacing w:after="0" w:line="240" w:lineRule="auto"/>
        <w:rPr>
          <w:rFonts w:ascii="Verdana" w:hAnsi="Verdana"/>
          <w:sz w:val="16"/>
          <w:szCs w:val="16"/>
        </w:rPr>
      </w:pPr>
      <w:r>
        <w:rPr>
          <w:rFonts w:ascii="Verdana" w:hAnsi="Verdana"/>
          <w:sz w:val="16"/>
          <w:szCs w:val="16"/>
        </w:rPr>
        <w:tab/>
      </w:r>
    </w:p>
    <w:p w14:paraId="1A3F1516" w14:textId="77777777" w:rsidR="00826320" w:rsidRPr="00924100" w:rsidRDefault="00826320" w:rsidP="00E86E59">
      <w:pPr>
        <w:tabs>
          <w:tab w:val="left" w:pos="567"/>
        </w:tabs>
        <w:spacing w:after="0" w:line="240" w:lineRule="auto"/>
        <w:rPr>
          <w:rFonts w:ascii="Verdana" w:hAnsi="Verdana"/>
          <w:sz w:val="16"/>
          <w:szCs w:val="16"/>
        </w:rPr>
      </w:pPr>
    </w:p>
    <w:p w14:paraId="73616602" w14:textId="13E8DAEC" w:rsidR="007E2B7D" w:rsidRDefault="00014433" w:rsidP="00E86E59">
      <w:pPr>
        <w:pStyle w:val="ListParagraph"/>
        <w:numPr>
          <w:ilvl w:val="0"/>
          <w:numId w:val="25"/>
        </w:numPr>
        <w:tabs>
          <w:tab w:val="left" w:pos="426"/>
        </w:tabs>
        <w:spacing w:after="0" w:line="240" w:lineRule="auto"/>
        <w:ind w:left="0" w:firstLine="0"/>
        <w:rPr>
          <w:rFonts w:ascii="Verdana" w:hAnsi="Verdana"/>
          <w:b/>
          <w:bCs/>
          <w:sz w:val="22"/>
          <w:szCs w:val="22"/>
          <w:u w:val="single"/>
        </w:rPr>
      </w:pPr>
      <w:r>
        <w:rPr>
          <w:rFonts w:ascii="Verdana" w:hAnsi="Verdana"/>
          <w:b/>
          <w:bCs/>
          <w:sz w:val="22"/>
          <w:szCs w:val="22"/>
          <w:u w:val="single"/>
        </w:rPr>
        <w:t>Financial Report</w:t>
      </w:r>
    </w:p>
    <w:p w14:paraId="1FA3A045" w14:textId="5B559EF6" w:rsidR="00E86E59" w:rsidRDefault="00E86E59" w:rsidP="00D5483F">
      <w:pPr>
        <w:pStyle w:val="ListParagraph"/>
        <w:numPr>
          <w:ilvl w:val="1"/>
          <w:numId w:val="25"/>
        </w:numPr>
        <w:tabs>
          <w:tab w:val="left" w:pos="567"/>
        </w:tabs>
        <w:spacing w:after="0" w:line="240" w:lineRule="auto"/>
        <w:ind w:left="0" w:firstLine="0"/>
        <w:rPr>
          <w:rFonts w:ascii="Verdana" w:hAnsi="Verdana"/>
          <w:b/>
          <w:bCs/>
          <w:sz w:val="22"/>
          <w:szCs w:val="22"/>
        </w:rPr>
      </w:pPr>
      <w:r>
        <w:rPr>
          <w:rFonts w:ascii="Verdana" w:hAnsi="Verdana"/>
          <w:b/>
          <w:bCs/>
          <w:sz w:val="22"/>
          <w:szCs w:val="22"/>
        </w:rPr>
        <w:t>Current bank balances:-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D5483F" w:rsidRPr="00D5483F" w14:paraId="3992AD31" w14:textId="77777777" w:rsidTr="00D5483F">
        <w:tc>
          <w:tcPr>
            <w:tcW w:w="2517" w:type="dxa"/>
          </w:tcPr>
          <w:p w14:paraId="102568CD" w14:textId="77777777" w:rsidR="00D5483F" w:rsidRPr="00D5483F" w:rsidRDefault="00D5483F" w:rsidP="00D5483F">
            <w:pPr>
              <w:spacing w:after="0" w:line="240" w:lineRule="auto"/>
              <w:rPr>
                <w:rFonts w:ascii="Verdana" w:hAnsi="Verdana"/>
                <w:sz w:val="22"/>
                <w:szCs w:val="22"/>
              </w:rPr>
            </w:pPr>
            <w:r w:rsidRPr="00D5483F">
              <w:rPr>
                <w:rFonts w:ascii="Verdana" w:hAnsi="Verdana"/>
                <w:sz w:val="22"/>
                <w:szCs w:val="22"/>
              </w:rPr>
              <w:t>Current account:</w:t>
            </w:r>
          </w:p>
        </w:tc>
        <w:tc>
          <w:tcPr>
            <w:tcW w:w="2517" w:type="dxa"/>
          </w:tcPr>
          <w:p w14:paraId="06322A49" w14:textId="5335D46C" w:rsidR="00D5483F" w:rsidRPr="00D5483F" w:rsidRDefault="00D5483F" w:rsidP="00D5483F">
            <w:pPr>
              <w:spacing w:after="0" w:line="240" w:lineRule="auto"/>
              <w:jc w:val="right"/>
              <w:rPr>
                <w:rFonts w:ascii="Verdana" w:hAnsi="Verdana"/>
                <w:sz w:val="22"/>
                <w:szCs w:val="22"/>
              </w:rPr>
            </w:pPr>
            <w:r w:rsidRPr="00D5483F">
              <w:rPr>
                <w:rFonts w:ascii="Verdana" w:hAnsi="Verdana"/>
                <w:sz w:val="22"/>
                <w:szCs w:val="22"/>
              </w:rPr>
              <w:t>£</w:t>
            </w:r>
            <w:r w:rsidR="002731C1">
              <w:rPr>
                <w:rFonts w:ascii="Verdana" w:hAnsi="Verdana"/>
                <w:sz w:val="22"/>
                <w:szCs w:val="22"/>
              </w:rPr>
              <w:t>65.73</w:t>
            </w:r>
          </w:p>
        </w:tc>
        <w:tc>
          <w:tcPr>
            <w:tcW w:w="2518" w:type="dxa"/>
          </w:tcPr>
          <w:p w14:paraId="4D8CF3A2" w14:textId="2B66D442" w:rsidR="00D5483F" w:rsidRPr="00D5483F" w:rsidRDefault="00D5483F" w:rsidP="00D5483F">
            <w:pPr>
              <w:spacing w:after="0" w:line="240" w:lineRule="auto"/>
              <w:rPr>
                <w:rFonts w:ascii="Verdana" w:hAnsi="Verdana"/>
                <w:sz w:val="22"/>
                <w:szCs w:val="22"/>
              </w:rPr>
            </w:pPr>
            <w:r w:rsidRPr="00D5483F">
              <w:rPr>
                <w:rFonts w:ascii="Verdana" w:hAnsi="Verdana"/>
                <w:sz w:val="22"/>
                <w:szCs w:val="22"/>
              </w:rPr>
              <w:t xml:space="preserve">Reserve account: </w:t>
            </w:r>
          </w:p>
        </w:tc>
        <w:tc>
          <w:tcPr>
            <w:tcW w:w="2518" w:type="dxa"/>
          </w:tcPr>
          <w:p w14:paraId="336B61C6" w14:textId="7236537E" w:rsidR="00D5483F" w:rsidRPr="00D5483F" w:rsidRDefault="00D5483F" w:rsidP="00D5483F">
            <w:pPr>
              <w:spacing w:after="0" w:line="240" w:lineRule="auto"/>
              <w:jc w:val="right"/>
              <w:rPr>
                <w:rFonts w:ascii="Verdana" w:hAnsi="Verdana"/>
                <w:sz w:val="22"/>
                <w:szCs w:val="22"/>
              </w:rPr>
            </w:pPr>
            <w:r w:rsidRPr="00D5483F">
              <w:rPr>
                <w:rFonts w:ascii="Verdana" w:hAnsi="Verdana"/>
                <w:sz w:val="22"/>
                <w:szCs w:val="22"/>
              </w:rPr>
              <w:t>£</w:t>
            </w:r>
            <w:r w:rsidR="002731C1">
              <w:rPr>
                <w:rFonts w:ascii="Verdana" w:hAnsi="Verdana"/>
                <w:sz w:val="22"/>
                <w:szCs w:val="22"/>
              </w:rPr>
              <w:t>9588.34</w:t>
            </w:r>
          </w:p>
        </w:tc>
      </w:tr>
    </w:tbl>
    <w:p w14:paraId="3E0912F2" w14:textId="6DEAD64E" w:rsidR="00E86E59" w:rsidRDefault="00E86E59" w:rsidP="00E86E59">
      <w:pPr>
        <w:pStyle w:val="ListParagraph"/>
        <w:numPr>
          <w:ilvl w:val="1"/>
          <w:numId w:val="25"/>
        </w:numPr>
        <w:tabs>
          <w:tab w:val="left" w:pos="567"/>
        </w:tabs>
        <w:spacing w:after="0" w:line="240" w:lineRule="auto"/>
        <w:ind w:left="0" w:firstLine="0"/>
        <w:rPr>
          <w:rFonts w:ascii="Verdana" w:hAnsi="Verdana"/>
          <w:b/>
          <w:bCs/>
          <w:sz w:val="22"/>
          <w:szCs w:val="22"/>
        </w:rPr>
      </w:pPr>
      <w:r w:rsidRPr="00E86E59">
        <w:rPr>
          <w:rFonts w:ascii="Verdana" w:hAnsi="Verdana"/>
          <w:b/>
          <w:bCs/>
          <w:sz w:val="22"/>
          <w:szCs w:val="22"/>
        </w:rPr>
        <w:t>Noting of sums received:-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gridCol w:w="3259"/>
        <w:gridCol w:w="1538"/>
      </w:tblGrid>
      <w:tr w:rsidR="00D5483F" w:rsidRPr="00D5483F" w14:paraId="76B5BCA5" w14:textId="77777777" w:rsidTr="00D5483F">
        <w:tc>
          <w:tcPr>
            <w:tcW w:w="5273" w:type="dxa"/>
          </w:tcPr>
          <w:p w14:paraId="5BCE78CC" w14:textId="1A271352" w:rsidR="00D5483F" w:rsidRPr="00D5483F" w:rsidRDefault="00D5483F" w:rsidP="004F4421">
            <w:pPr>
              <w:tabs>
                <w:tab w:val="left" w:pos="567"/>
              </w:tabs>
              <w:spacing w:after="0" w:line="240" w:lineRule="auto"/>
              <w:rPr>
                <w:rFonts w:ascii="Verdana" w:hAnsi="Verdana"/>
                <w:sz w:val="22"/>
                <w:szCs w:val="22"/>
              </w:rPr>
            </w:pPr>
            <w:r w:rsidRPr="00D5483F">
              <w:rPr>
                <w:rFonts w:ascii="Verdana" w:hAnsi="Verdana"/>
                <w:sz w:val="22"/>
                <w:szCs w:val="22"/>
              </w:rPr>
              <w:t xml:space="preserve">NWB Interest Paid </w:t>
            </w:r>
            <w:r w:rsidR="002731C1">
              <w:rPr>
                <w:rFonts w:ascii="Verdana" w:hAnsi="Verdana"/>
                <w:sz w:val="22"/>
                <w:szCs w:val="22"/>
              </w:rPr>
              <w:t>March</w:t>
            </w:r>
            <w:r w:rsidRPr="00D5483F">
              <w:rPr>
                <w:rFonts w:ascii="Verdana" w:hAnsi="Verdana"/>
                <w:sz w:val="22"/>
                <w:szCs w:val="22"/>
              </w:rPr>
              <w:t xml:space="preserve"> to </w:t>
            </w:r>
            <w:r w:rsidR="002731C1">
              <w:rPr>
                <w:rFonts w:ascii="Verdana" w:hAnsi="Verdana"/>
                <w:sz w:val="22"/>
                <w:szCs w:val="22"/>
              </w:rPr>
              <w:t>May</w:t>
            </w:r>
            <w:r w:rsidRPr="00D5483F">
              <w:rPr>
                <w:rFonts w:ascii="Verdana" w:hAnsi="Verdana"/>
                <w:sz w:val="22"/>
                <w:szCs w:val="22"/>
              </w:rPr>
              <w:t xml:space="preserve"> 2020</w:t>
            </w:r>
            <w:r w:rsidRPr="00D5483F">
              <w:rPr>
                <w:rFonts w:ascii="Verdana" w:hAnsi="Verdana"/>
                <w:sz w:val="22"/>
                <w:szCs w:val="22"/>
              </w:rPr>
              <w:tab/>
            </w:r>
          </w:p>
        </w:tc>
        <w:tc>
          <w:tcPr>
            <w:tcW w:w="3259" w:type="dxa"/>
          </w:tcPr>
          <w:p w14:paraId="570A49D5" w14:textId="77777777" w:rsidR="00D5483F" w:rsidRPr="00D5483F" w:rsidRDefault="00D5483F" w:rsidP="00D5483F">
            <w:pPr>
              <w:tabs>
                <w:tab w:val="left" w:pos="567"/>
              </w:tabs>
              <w:spacing w:after="0" w:line="240" w:lineRule="auto"/>
              <w:jc w:val="right"/>
              <w:rPr>
                <w:rFonts w:ascii="Verdana" w:hAnsi="Verdana"/>
                <w:sz w:val="22"/>
                <w:szCs w:val="22"/>
              </w:rPr>
            </w:pPr>
          </w:p>
        </w:tc>
        <w:tc>
          <w:tcPr>
            <w:tcW w:w="1538" w:type="dxa"/>
          </w:tcPr>
          <w:p w14:paraId="1AFCFE55" w14:textId="0DDCD21D" w:rsidR="00D5483F" w:rsidRPr="00D5483F" w:rsidRDefault="00D5483F" w:rsidP="00D5483F">
            <w:pPr>
              <w:tabs>
                <w:tab w:val="left" w:pos="567"/>
              </w:tabs>
              <w:spacing w:after="0" w:line="240" w:lineRule="auto"/>
              <w:jc w:val="right"/>
              <w:rPr>
                <w:rFonts w:ascii="Verdana" w:hAnsi="Verdana"/>
                <w:sz w:val="22"/>
                <w:szCs w:val="22"/>
              </w:rPr>
            </w:pPr>
            <w:r w:rsidRPr="00D5483F">
              <w:rPr>
                <w:rFonts w:ascii="Verdana" w:hAnsi="Verdana"/>
                <w:sz w:val="22"/>
                <w:szCs w:val="22"/>
              </w:rPr>
              <w:t>£</w:t>
            </w:r>
            <w:r w:rsidR="002731C1">
              <w:rPr>
                <w:rFonts w:ascii="Verdana" w:hAnsi="Verdana"/>
                <w:sz w:val="22"/>
                <w:szCs w:val="22"/>
              </w:rPr>
              <w:t>3.60</w:t>
            </w:r>
          </w:p>
        </w:tc>
      </w:tr>
      <w:tr w:rsidR="00D5483F" w:rsidRPr="00D5483F" w14:paraId="477722FB" w14:textId="77777777" w:rsidTr="00D5483F">
        <w:tc>
          <w:tcPr>
            <w:tcW w:w="5273" w:type="dxa"/>
          </w:tcPr>
          <w:p w14:paraId="191382D9" w14:textId="2E5FAB56" w:rsidR="00D5483F" w:rsidRPr="00D5483F" w:rsidRDefault="002731C1" w:rsidP="00D5483F">
            <w:pPr>
              <w:tabs>
                <w:tab w:val="left" w:pos="567"/>
              </w:tabs>
              <w:spacing w:after="0" w:line="240" w:lineRule="auto"/>
              <w:rPr>
                <w:rFonts w:ascii="Verdana" w:hAnsi="Verdana"/>
                <w:sz w:val="22"/>
                <w:szCs w:val="22"/>
              </w:rPr>
            </w:pPr>
            <w:r>
              <w:rPr>
                <w:rFonts w:ascii="Verdana" w:hAnsi="Verdana"/>
                <w:sz w:val="22"/>
                <w:szCs w:val="22"/>
              </w:rPr>
              <w:t>BACS Braintree District Council -</w:t>
            </w:r>
          </w:p>
        </w:tc>
        <w:tc>
          <w:tcPr>
            <w:tcW w:w="3259" w:type="dxa"/>
          </w:tcPr>
          <w:p w14:paraId="0677ED8B" w14:textId="51966716" w:rsidR="00D5483F" w:rsidRPr="00D5483F" w:rsidRDefault="002731C1" w:rsidP="00D5483F">
            <w:pPr>
              <w:tabs>
                <w:tab w:val="left" w:pos="567"/>
              </w:tabs>
              <w:spacing w:after="0" w:line="240" w:lineRule="auto"/>
              <w:rPr>
                <w:rFonts w:ascii="Verdana" w:hAnsi="Verdana"/>
                <w:sz w:val="22"/>
                <w:szCs w:val="22"/>
              </w:rPr>
            </w:pPr>
            <w:r>
              <w:rPr>
                <w:rFonts w:ascii="Verdana" w:hAnsi="Verdana"/>
                <w:sz w:val="22"/>
                <w:szCs w:val="22"/>
              </w:rPr>
              <w:t>Precept 1</w:t>
            </w:r>
            <w:r w:rsidRPr="002731C1">
              <w:rPr>
                <w:rFonts w:ascii="Verdana" w:hAnsi="Verdana"/>
                <w:sz w:val="22"/>
                <w:szCs w:val="22"/>
                <w:vertAlign w:val="superscript"/>
              </w:rPr>
              <w:t>st</w:t>
            </w:r>
            <w:r>
              <w:rPr>
                <w:rFonts w:ascii="Verdana" w:hAnsi="Verdana"/>
                <w:sz w:val="22"/>
                <w:szCs w:val="22"/>
              </w:rPr>
              <w:t xml:space="preserve"> instalment</w:t>
            </w:r>
          </w:p>
        </w:tc>
        <w:tc>
          <w:tcPr>
            <w:tcW w:w="1538" w:type="dxa"/>
          </w:tcPr>
          <w:p w14:paraId="1C8F7B3A" w14:textId="390161D8" w:rsidR="00D5483F" w:rsidRPr="00D5483F" w:rsidRDefault="00D5483F" w:rsidP="00D5483F">
            <w:pPr>
              <w:tabs>
                <w:tab w:val="left" w:pos="567"/>
              </w:tabs>
              <w:spacing w:after="0" w:line="240" w:lineRule="auto"/>
              <w:jc w:val="right"/>
              <w:rPr>
                <w:rFonts w:ascii="Verdana" w:hAnsi="Verdana"/>
                <w:sz w:val="22"/>
                <w:szCs w:val="22"/>
              </w:rPr>
            </w:pPr>
            <w:r w:rsidRPr="00D5483F">
              <w:rPr>
                <w:rFonts w:ascii="Verdana" w:hAnsi="Verdana"/>
                <w:sz w:val="22"/>
                <w:szCs w:val="22"/>
              </w:rPr>
              <w:t>£</w:t>
            </w:r>
            <w:r w:rsidR="002731C1">
              <w:rPr>
                <w:rFonts w:ascii="Verdana" w:hAnsi="Verdana"/>
                <w:sz w:val="22"/>
                <w:szCs w:val="22"/>
              </w:rPr>
              <w:t>4111.00</w:t>
            </w:r>
          </w:p>
        </w:tc>
      </w:tr>
      <w:tr w:rsidR="00D5483F" w:rsidRPr="00D5483F" w14:paraId="4441F427" w14:textId="77777777" w:rsidTr="00D5483F">
        <w:tc>
          <w:tcPr>
            <w:tcW w:w="5273" w:type="dxa"/>
          </w:tcPr>
          <w:p w14:paraId="351307DE" w14:textId="05136294" w:rsidR="00D5483F" w:rsidRPr="00D5483F" w:rsidRDefault="00D5483F" w:rsidP="00D5483F">
            <w:pPr>
              <w:tabs>
                <w:tab w:val="left" w:pos="567"/>
              </w:tabs>
              <w:spacing w:after="0" w:line="240" w:lineRule="auto"/>
              <w:rPr>
                <w:rFonts w:ascii="Verdana" w:hAnsi="Verdana"/>
                <w:sz w:val="22"/>
                <w:szCs w:val="22"/>
              </w:rPr>
            </w:pPr>
          </w:p>
        </w:tc>
        <w:tc>
          <w:tcPr>
            <w:tcW w:w="3259" w:type="dxa"/>
          </w:tcPr>
          <w:p w14:paraId="6332CF1E" w14:textId="0FE4923D" w:rsidR="00D5483F" w:rsidRPr="00D5483F" w:rsidRDefault="00D5483F" w:rsidP="00D5483F">
            <w:pPr>
              <w:tabs>
                <w:tab w:val="left" w:pos="567"/>
              </w:tabs>
              <w:spacing w:after="0" w:line="240" w:lineRule="auto"/>
              <w:rPr>
                <w:rFonts w:ascii="Verdana" w:hAnsi="Verdana"/>
                <w:sz w:val="22"/>
                <w:szCs w:val="22"/>
              </w:rPr>
            </w:pPr>
          </w:p>
        </w:tc>
        <w:tc>
          <w:tcPr>
            <w:tcW w:w="1538" w:type="dxa"/>
          </w:tcPr>
          <w:p w14:paraId="3621A84A" w14:textId="53B989B4" w:rsidR="00D5483F" w:rsidRPr="00D5483F" w:rsidRDefault="00D5483F" w:rsidP="00D5483F">
            <w:pPr>
              <w:tabs>
                <w:tab w:val="left" w:pos="567"/>
              </w:tabs>
              <w:spacing w:after="0" w:line="240" w:lineRule="auto"/>
              <w:jc w:val="right"/>
              <w:rPr>
                <w:rFonts w:ascii="Verdana" w:hAnsi="Verdana"/>
                <w:sz w:val="22"/>
                <w:szCs w:val="22"/>
              </w:rPr>
            </w:pPr>
          </w:p>
        </w:tc>
      </w:tr>
    </w:tbl>
    <w:p w14:paraId="67234AED" w14:textId="52D4FB21" w:rsidR="00E86E59" w:rsidRPr="00EC2C4D" w:rsidRDefault="00D5483F" w:rsidP="00D5483F">
      <w:pPr>
        <w:pStyle w:val="ListParagraph"/>
        <w:numPr>
          <w:ilvl w:val="1"/>
          <w:numId w:val="25"/>
        </w:numPr>
        <w:tabs>
          <w:tab w:val="left" w:pos="567"/>
        </w:tabs>
        <w:spacing w:after="0" w:line="240" w:lineRule="auto"/>
        <w:ind w:left="0" w:firstLine="0"/>
        <w:rPr>
          <w:rFonts w:ascii="Verdana" w:hAnsi="Verdana"/>
          <w:b/>
          <w:bCs/>
          <w:sz w:val="22"/>
          <w:szCs w:val="22"/>
          <w:u w:val="single"/>
        </w:rPr>
      </w:pPr>
      <w:r>
        <w:rPr>
          <w:rFonts w:ascii="Verdana" w:hAnsi="Verdana"/>
          <w:b/>
          <w:bCs/>
          <w:sz w:val="22"/>
          <w:szCs w:val="22"/>
        </w:rPr>
        <w:t>Ratification of payments made:-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711"/>
      </w:tblGrid>
      <w:tr w:rsidR="00EC2C4D" w14:paraId="3D5838E4" w14:textId="77777777" w:rsidTr="00B91837">
        <w:trPr>
          <w:trHeight w:val="80"/>
        </w:trPr>
        <w:tc>
          <w:tcPr>
            <w:tcW w:w="8359" w:type="dxa"/>
          </w:tcPr>
          <w:p w14:paraId="459B990A" w14:textId="0DB91519" w:rsidR="00EC2C4D" w:rsidRDefault="002731C1" w:rsidP="00B91837">
            <w:pPr>
              <w:tabs>
                <w:tab w:val="left" w:pos="567"/>
              </w:tabs>
              <w:spacing w:after="0" w:line="240" w:lineRule="auto"/>
              <w:rPr>
                <w:rFonts w:ascii="Verdana" w:hAnsi="Verdana"/>
                <w:sz w:val="22"/>
                <w:szCs w:val="22"/>
              </w:rPr>
            </w:pPr>
            <w:r>
              <w:rPr>
                <w:rFonts w:ascii="Verdana" w:hAnsi="Verdana"/>
                <w:sz w:val="22"/>
                <w:szCs w:val="22"/>
              </w:rPr>
              <w:t>SO Mrs Ann Crisp – Salary</w:t>
            </w:r>
          </w:p>
        </w:tc>
        <w:tc>
          <w:tcPr>
            <w:tcW w:w="1711" w:type="dxa"/>
          </w:tcPr>
          <w:p w14:paraId="7D4AE5A0" w14:textId="78A31FA9" w:rsidR="00EC2C4D" w:rsidRDefault="002731C1" w:rsidP="00B91837">
            <w:pPr>
              <w:tabs>
                <w:tab w:val="left" w:pos="567"/>
              </w:tabs>
              <w:spacing w:after="0" w:line="240" w:lineRule="auto"/>
              <w:jc w:val="right"/>
              <w:rPr>
                <w:rFonts w:ascii="Verdana" w:hAnsi="Verdana"/>
                <w:sz w:val="22"/>
                <w:szCs w:val="22"/>
              </w:rPr>
            </w:pPr>
            <w:r>
              <w:rPr>
                <w:rFonts w:ascii="Verdana" w:hAnsi="Verdana"/>
                <w:sz w:val="22"/>
                <w:szCs w:val="22"/>
              </w:rPr>
              <w:t>£1270.10</w:t>
            </w:r>
          </w:p>
        </w:tc>
      </w:tr>
      <w:tr w:rsidR="00EC2C4D" w14:paraId="65F06917" w14:textId="77777777" w:rsidTr="00B91837">
        <w:tc>
          <w:tcPr>
            <w:tcW w:w="8359" w:type="dxa"/>
          </w:tcPr>
          <w:p w14:paraId="05E0C5CA" w14:textId="7196A27B" w:rsidR="00EC2C4D" w:rsidRDefault="00EC2C4D" w:rsidP="00B91837">
            <w:pPr>
              <w:tabs>
                <w:tab w:val="left" w:pos="567"/>
              </w:tabs>
              <w:spacing w:after="0" w:line="240" w:lineRule="auto"/>
              <w:rPr>
                <w:rFonts w:ascii="Verdana" w:hAnsi="Verdana"/>
                <w:sz w:val="22"/>
                <w:szCs w:val="22"/>
              </w:rPr>
            </w:pPr>
            <w:r>
              <w:rPr>
                <w:rFonts w:ascii="Verdana" w:hAnsi="Verdana"/>
                <w:sz w:val="22"/>
                <w:szCs w:val="22"/>
              </w:rPr>
              <w:t xml:space="preserve">OB </w:t>
            </w:r>
            <w:r w:rsidR="002731C1">
              <w:rPr>
                <w:rFonts w:ascii="Verdana" w:hAnsi="Verdana"/>
                <w:sz w:val="22"/>
                <w:szCs w:val="22"/>
              </w:rPr>
              <w:t>Mr M Elms – Invoice paid to Mrs C Walters – Clerk deputi</w:t>
            </w:r>
            <w:r w:rsidR="00152206">
              <w:rPr>
                <w:rFonts w:ascii="Verdana" w:hAnsi="Verdana"/>
                <w:sz w:val="22"/>
                <w:szCs w:val="22"/>
              </w:rPr>
              <w:t>s</w:t>
            </w:r>
            <w:r w:rsidR="002731C1">
              <w:rPr>
                <w:rFonts w:ascii="Verdana" w:hAnsi="Verdana"/>
                <w:sz w:val="22"/>
                <w:szCs w:val="22"/>
              </w:rPr>
              <w:t>ation</w:t>
            </w:r>
          </w:p>
          <w:p w14:paraId="7C8B4FC7" w14:textId="4EB94B9D" w:rsidR="002731C1" w:rsidRPr="002731C1" w:rsidRDefault="002731C1" w:rsidP="00B91837">
            <w:pPr>
              <w:tabs>
                <w:tab w:val="left" w:pos="567"/>
              </w:tabs>
              <w:spacing w:after="0" w:line="240" w:lineRule="auto"/>
              <w:rPr>
                <w:rFonts w:ascii="Verdana" w:hAnsi="Verdana"/>
                <w:i/>
                <w:iCs/>
                <w:sz w:val="22"/>
                <w:szCs w:val="22"/>
              </w:rPr>
            </w:pPr>
            <w:r>
              <w:rPr>
                <w:rFonts w:ascii="Verdana" w:hAnsi="Verdana"/>
                <w:sz w:val="22"/>
                <w:szCs w:val="22"/>
              </w:rPr>
              <w:t>(</w:t>
            </w:r>
            <w:r>
              <w:rPr>
                <w:rFonts w:ascii="Verdana" w:hAnsi="Verdana"/>
                <w:i/>
                <w:iCs/>
                <w:sz w:val="22"/>
                <w:szCs w:val="22"/>
              </w:rPr>
              <w:t>Paid in absence of Clerk</w:t>
            </w:r>
            <w:r w:rsidR="00152206">
              <w:rPr>
                <w:rFonts w:ascii="Verdana" w:hAnsi="Verdana"/>
                <w:i/>
                <w:iCs/>
                <w:sz w:val="22"/>
                <w:szCs w:val="22"/>
              </w:rPr>
              <w:t>)</w:t>
            </w:r>
          </w:p>
        </w:tc>
        <w:tc>
          <w:tcPr>
            <w:tcW w:w="1711" w:type="dxa"/>
          </w:tcPr>
          <w:p w14:paraId="0780740A" w14:textId="7E18BA1C" w:rsidR="00EC2C4D" w:rsidRDefault="00EC2C4D" w:rsidP="00B91837">
            <w:pPr>
              <w:tabs>
                <w:tab w:val="left" w:pos="567"/>
              </w:tabs>
              <w:spacing w:after="0" w:line="240" w:lineRule="auto"/>
              <w:jc w:val="right"/>
              <w:rPr>
                <w:rFonts w:ascii="Verdana" w:hAnsi="Verdana"/>
                <w:sz w:val="22"/>
                <w:szCs w:val="22"/>
              </w:rPr>
            </w:pPr>
            <w:r>
              <w:rPr>
                <w:rFonts w:ascii="Verdana" w:hAnsi="Verdana"/>
                <w:sz w:val="22"/>
                <w:szCs w:val="22"/>
              </w:rPr>
              <w:t>£</w:t>
            </w:r>
            <w:r w:rsidR="002731C1">
              <w:rPr>
                <w:rFonts w:ascii="Verdana" w:hAnsi="Verdana"/>
                <w:sz w:val="22"/>
                <w:szCs w:val="22"/>
              </w:rPr>
              <w:t>58.40</w:t>
            </w:r>
          </w:p>
        </w:tc>
      </w:tr>
      <w:tr w:rsidR="00EC2C4D" w14:paraId="4B8BFFD0" w14:textId="77777777" w:rsidTr="00B91837">
        <w:tc>
          <w:tcPr>
            <w:tcW w:w="8359" w:type="dxa"/>
          </w:tcPr>
          <w:p w14:paraId="52FC7FCE" w14:textId="21AA2FCE" w:rsidR="00EC2C4D" w:rsidRDefault="00152206" w:rsidP="00B91837">
            <w:pPr>
              <w:tabs>
                <w:tab w:val="left" w:pos="567"/>
              </w:tabs>
              <w:spacing w:after="0" w:line="240" w:lineRule="auto"/>
              <w:rPr>
                <w:rFonts w:ascii="Verdana" w:hAnsi="Verdana"/>
                <w:sz w:val="22"/>
                <w:szCs w:val="22"/>
              </w:rPr>
            </w:pPr>
            <w:r>
              <w:rPr>
                <w:rFonts w:ascii="Verdana" w:hAnsi="Verdana"/>
                <w:sz w:val="22"/>
                <w:szCs w:val="22"/>
              </w:rPr>
              <w:t>DD E-On – Quarterly Street Lighting</w:t>
            </w:r>
          </w:p>
        </w:tc>
        <w:tc>
          <w:tcPr>
            <w:tcW w:w="1711" w:type="dxa"/>
          </w:tcPr>
          <w:p w14:paraId="3BBFE39E" w14:textId="2EE31725" w:rsidR="00EC2C4D" w:rsidRDefault="00EC2C4D" w:rsidP="00B91837">
            <w:pPr>
              <w:tabs>
                <w:tab w:val="left" w:pos="567"/>
              </w:tabs>
              <w:spacing w:after="0" w:line="240" w:lineRule="auto"/>
              <w:jc w:val="right"/>
              <w:rPr>
                <w:rFonts w:ascii="Verdana" w:hAnsi="Verdana"/>
                <w:sz w:val="22"/>
                <w:szCs w:val="22"/>
              </w:rPr>
            </w:pPr>
            <w:r>
              <w:rPr>
                <w:rFonts w:ascii="Verdana" w:hAnsi="Verdana"/>
                <w:sz w:val="22"/>
                <w:szCs w:val="22"/>
              </w:rPr>
              <w:t>£</w:t>
            </w:r>
            <w:r w:rsidR="00152206">
              <w:rPr>
                <w:rFonts w:ascii="Verdana" w:hAnsi="Verdana"/>
                <w:sz w:val="22"/>
                <w:szCs w:val="22"/>
              </w:rPr>
              <w:t>28.30</w:t>
            </w:r>
          </w:p>
        </w:tc>
      </w:tr>
      <w:tr w:rsidR="00EC2C4D" w14:paraId="5C126F0C" w14:textId="77777777" w:rsidTr="00B91837">
        <w:tc>
          <w:tcPr>
            <w:tcW w:w="8359" w:type="dxa"/>
          </w:tcPr>
          <w:p w14:paraId="2116B337" w14:textId="77777777" w:rsidR="00EC2C4D" w:rsidRDefault="00152206" w:rsidP="00B91837">
            <w:pPr>
              <w:tabs>
                <w:tab w:val="left" w:pos="567"/>
              </w:tabs>
              <w:spacing w:after="0" w:line="240" w:lineRule="auto"/>
              <w:rPr>
                <w:rFonts w:ascii="Verdana" w:hAnsi="Verdana"/>
                <w:sz w:val="22"/>
                <w:szCs w:val="22"/>
              </w:rPr>
            </w:pPr>
            <w:r>
              <w:rPr>
                <w:rFonts w:ascii="Verdana" w:hAnsi="Verdana"/>
                <w:sz w:val="22"/>
                <w:szCs w:val="22"/>
              </w:rPr>
              <w:t>OB EALC – Annual affiliation fees for EALC &amp; NALC</w:t>
            </w:r>
          </w:p>
          <w:p w14:paraId="466B3E37" w14:textId="77777777" w:rsidR="00152206" w:rsidRDefault="00152206" w:rsidP="00B91837">
            <w:pPr>
              <w:tabs>
                <w:tab w:val="left" w:pos="567"/>
              </w:tabs>
              <w:spacing w:after="0" w:line="240" w:lineRule="auto"/>
              <w:rPr>
                <w:rFonts w:ascii="Verdana" w:hAnsi="Verdana"/>
                <w:sz w:val="22"/>
                <w:szCs w:val="22"/>
              </w:rPr>
            </w:pPr>
            <w:r>
              <w:rPr>
                <w:rFonts w:ascii="Verdana" w:hAnsi="Verdana"/>
                <w:sz w:val="22"/>
                <w:szCs w:val="22"/>
              </w:rPr>
              <w:t>OB BHIB – Annual insurance renewal</w:t>
            </w:r>
          </w:p>
          <w:p w14:paraId="54E1991D" w14:textId="3ECC22AE" w:rsidR="00152206" w:rsidRDefault="00152206" w:rsidP="00B91837">
            <w:pPr>
              <w:tabs>
                <w:tab w:val="left" w:pos="567"/>
              </w:tabs>
              <w:spacing w:after="0" w:line="240" w:lineRule="auto"/>
              <w:rPr>
                <w:rFonts w:ascii="Verdana" w:hAnsi="Verdana"/>
                <w:sz w:val="22"/>
                <w:szCs w:val="22"/>
              </w:rPr>
            </w:pPr>
            <w:r>
              <w:rPr>
                <w:rFonts w:ascii="Verdana" w:hAnsi="Verdana"/>
                <w:sz w:val="22"/>
                <w:szCs w:val="22"/>
              </w:rPr>
              <w:t>OB Mortimer Contracts Limited – Spring verge cut</w:t>
            </w:r>
          </w:p>
        </w:tc>
        <w:tc>
          <w:tcPr>
            <w:tcW w:w="1711" w:type="dxa"/>
          </w:tcPr>
          <w:p w14:paraId="36484EF9" w14:textId="3A29B41B" w:rsidR="00EC2C4D" w:rsidRDefault="00EC2C4D" w:rsidP="00B91837">
            <w:pPr>
              <w:tabs>
                <w:tab w:val="left" w:pos="567"/>
              </w:tabs>
              <w:spacing w:after="0" w:line="240" w:lineRule="auto"/>
              <w:jc w:val="right"/>
              <w:rPr>
                <w:rFonts w:ascii="Verdana" w:hAnsi="Verdana"/>
                <w:sz w:val="22"/>
                <w:szCs w:val="22"/>
              </w:rPr>
            </w:pPr>
            <w:r>
              <w:rPr>
                <w:rFonts w:ascii="Verdana" w:hAnsi="Verdana"/>
                <w:sz w:val="22"/>
                <w:szCs w:val="22"/>
              </w:rPr>
              <w:t>£</w:t>
            </w:r>
            <w:r w:rsidR="00152206">
              <w:rPr>
                <w:rFonts w:ascii="Verdana" w:hAnsi="Verdana"/>
                <w:sz w:val="22"/>
                <w:szCs w:val="22"/>
              </w:rPr>
              <w:t>124.31</w:t>
            </w:r>
          </w:p>
          <w:p w14:paraId="6CEF4034" w14:textId="385B3C43" w:rsidR="00152206" w:rsidRDefault="00152206" w:rsidP="00B91837">
            <w:pPr>
              <w:tabs>
                <w:tab w:val="left" w:pos="567"/>
              </w:tabs>
              <w:spacing w:after="0" w:line="240" w:lineRule="auto"/>
              <w:jc w:val="right"/>
              <w:rPr>
                <w:rFonts w:ascii="Verdana" w:hAnsi="Verdana"/>
                <w:sz w:val="22"/>
                <w:szCs w:val="22"/>
              </w:rPr>
            </w:pPr>
            <w:r>
              <w:rPr>
                <w:rFonts w:ascii="Verdana" w:hAnsi="Verdana"/>
                <w:sz w:val="22"/>
                <w:szCs w:val="22"/>
              </w:rPr>
              <w:t>£209.25</w:t>
            </w:r>
          </w:p>
          <w:p w14:paraId="1F23A205" w14:textId="75AC0895" w:rsidR="00152206" w:rsidRDefault="00152206" w:rsidP="00B91837">
            <w:pPr>
              <w:tabs>
                <w:tab w:val="left" w:pos="567"/>
              </w:tabs>
              <w:spacing w:after="0" w:line="240" w:lineRule="auto"/>
              <w:jc w:val="right"/>
              <w:rPr>
                <w:rFonts w:ascii="Verdana" w:hAnsi="Verdana"/>
                <w:sz w:val="22"/>
                <w:szCs w:val="22"/>
              </w:rPr>
            </w:pPr>
            <w:r>
              <w:rPr>
                <w:rFonts w:ascii="Verdana" w:hAnsi="Verdana"/>
                <w:sz w:val="22"/>
                <w:szCs w:val="22"/>
              </w:rPr>
              <w:t>£624.00</w:t>
            </w:r>
          </w:p>
          <w:p w14:paraId="39EFBCA4" w14:textId="77777777" w:rsidR="00152206" w:rsidRDefault="00152206" w:rsidP="00B91837">
            <w:pPr>
              <w:tabs>
                <w:tab w:val="left" w:pos="567"/>
              </w:tabs>
              <w:spacing w:after="0" w:line="240" w:lineRule="auto"/>
              <w:jc w:val="right"/>
              <w:rPr>
                <w:rFonts w:ascii="Verdana" w:hAnsi="Verdana"/>
                <w:sz w:val="22"/>
                <w:szCs w:val="22"/>
              </w:rPr>
            </w:pPr>
          </w:p>
          <w:p w14:paraId="6DBBE378" w14:textId="0862183B" w:rsidR="00152206" w:rsidRDefault="00152206" w:rsidP="00B91837">
            <w:pPr>
              <w:tabs>
                <w:tab w:val="left" w:pos="567"/>
              </w:tabs>
              <w:spacing w:after="0" w:line="240" w:lineRule="auto"/>
              <w:jc w:val="right"/>
              <w:rPr>
                <w:rFonts w:ascii="Verdana" w:hAnsi="Verdana"/>
                <w:sz w:val="22"/>
                <w:szCs w:val="22"/>
              </w:rPr>
            </w:pPr>
          </w:p>
        </w:tc>
      </w:tr>
      <w:tr w:rsidR="00EC2C4D" w14:paraId="03BB9957" w14:textId="77777777" w:rsidTr="00B91837">
        <w:tc>
          <w:tcPr>
            <w:tcW w:w="8359" w:type="dxa"/>
          </w:tcPr>
          <w:p w14:paraId="4A3B1452" w14:textId="77777777" w:rsidR="00EC2C4D" w:rsidRPr="00D5483F" w:rsidRDefault="00EC2C4D" w:rsidP="00B91837">
            <w:pPr>
              <w:tabs>
                <w:tab w:val="left" w:pos="567"/>
              </w:tabs>
              <w:spacing w:after="0" w:line="240" w:lineRule="auto"/>
              <w:rPr>
                <w:rFonts w:ascii="Verdana" w:hAnsi="Verdana"/>
                <w:b/>
                <w:bCs/>
                <w:sz w:val="22"/>
                <w:szCs w:val="22"/>
              </w:rPr>
            </w:pPr>
            <w:r>
              <w:rPr>
                <w:rFonts w:ascii="Verdana" w:hAnsi="Verdana"/>
                <w:b/>
                <w:bCs/>
                <w:sz w:val="22"/>
                <w:szCs w:val="22"/>
              </w:rPr>
              <w:lastRenderedPageBreak/>
              <w:t>Transfers</w:t>
            </w:r>
          </w:p>
        </w:tc>
        <w:tc>
          <w:tcPr>
            <w:tcW w:w="1711" w:type="dxa"/>
          </w:tcPr>
          <w:p w14:paraId="57877C62" w14:textId="77777777" w:rsidR="00EC2C4D" w:rsidRDefault="00EC2C4D" w:rsidP="00B91837">
            <w:pPr>
              <w:tabs>
                <w:tab w:val="left" w:pos="567"/>
              </w:tabs>
              <w:spacing w:after="0" w:line="240" w:lineRule="auto"/>
              <w:jc w:val="right"/>
              <w:rPr>
                <w:rFonts w:ascii="Verdana" w:hAnsi="Verdana"/>
                <w:sz w:val="22"/>
                <w:szCs w:val="22"/>
              </w:rPr>
            </w:pPr>
          </w:p>
        </w:tc>
      </w:tr>
      <w:tr w:rsidR="00EC2C4D" w14:paraId="193AB95B" w14:textId="77777777" w:rsidTr="00B91837">
        <w:tc>
          <w:tcPr>
            <w:tcW w:w="8359" w:type="dxa"/>
          </w:tcPr>
          <w:p w14:paraId="4EF65AFF" w14:textId="77777777" w:rsidR="00EC2C4D" w:rsidRPr="00D5483F" w:rsidRDefault="00EC2C4D" w:rsidP="00B91837">
            <w:pPr>
              <w:tabs>
                <w:tab w:val="left" w:pos="567"/>
              </w:tabs>
              <w:spacing w:after="0" w:line="240" w:lineRule="auto"/>
              <w:rPr>
                <w:rFonts w:ascii="Verdana" w:hAnsi="Verdana"/>
                <w:sz w:val="22"/>
                <w:szCs w:val="22"/>
              </w:rPr>
            </w:pPr>
            <w:r>
              <w:rPr>
                <w:rFonts w:ascii="Verdana" w:hAnsi="Verdana"/>
                <w:sz w:val="22"/>
                <w:szCs w:val="22"/>
              </w:rPr>
              <w:t>TF From Reserve Account to Current Account</w:t>
            </w:r>
          </w:p>
        </w:tc>
        <w:tc>
          <w:tcPr>
            <w:tcW w:w="1711" w:type="dxa"/>
          </w:tcPr>
          <w:p w14:paraId="5C0DD1E9" w14:textId="4507C9E8" w:rsidR="00EC2C4D" w:rsidRDefault="00EC2C4D" w:rsidP="00B91837">
            <w:pPr>
              <w:tabs>
                <w:tab w:val="left" w:pos="567"/>
              </w:tabs>
              <w:spacing w:after="0" w:line="240" w:lineRule="auto"/>
              <w:jc w:val="right"/>
              <w:rPr>
                <w:rFonts w:ascii="Verdana" w:hAnsi="Verdana"/>
                <w:sz w:val="22"/>
                <w:szCs w:val="22"/>
              </w:rPr>
            </w:pPr>
            <w:r>
              <w:rPr>
                <w:rFonts w:ascii="Verdana" w:hAnsi="Verdana"/>
                <w:sz w:val="22"/>
                <w:szCs w:val="22"/>
              </w:rPr>
              <w:t>£</w:t>
            </w:r>
            <w:r w:rsidR="002731C1">
              <w:rPr>
                <w:rFonts w:ascii="Verdana" w:hAnsi="Verdana"/>
                <w:sz w:val="22"/>
                <w:szCs w:val="22"/>
              </w:rPr>
              <w:t>120.00</w:t>
            </w:r>
          </w:p>
        </w:tc>
      </w:tr>
      <w:tr w:rsidR="00EC2C4D" w14:paraId="227C7877" w14:textId="77777777" w:rsidTr="00B91837">
        <w:tc>
          <w:tcPr>
            <w:tcW w:w="8359" w:type="dxa"/>
          </w:tcPr>
          <w:p w14:paraId="7CE58623" w14:textId="77777777" w:rsidR="00EC2C4D" w:rsidRPr="00D5483F" w:rsidRDefault="00EC2C4D" w:rsidP="00B91837">
            <w:pPr>
              <w:tabs>
                <w:tab w:val="left" w:pos="567"/>
              </w:tabs>
              <w:spacing w:after="0" w:line="240" w:lineRule="auto"/>
              <w:rPr>
                <w:rFonts w:ascii="Verdana" w:hAnsi="Verdana"/>
                <w:sz w:val="22"/>
                <w:szCs w:val="22"/>
              </w:rPr>
            </w:pPr>
            <w:r>
              <w:rPr>
                <w:rFonts w:ascii="Verdana" w:hAnsi="Verdana"/>
                <w:sz w:val="22"/>
                <w:szCs w:val="22"/>
              </w:rPr>
              <w:t>TF From Reserve Account to Current Account</w:t>
            </w:r>
          </w:p>
        </w:tc>
        <w:tc>
          <w:tcPr>
            <w:tcW w:w="1711" w:type="dxa"/>
          </w:tcPr>
          <w:p w14:paraId="0C57E1C2" w14:textId="040343A1" w:rsidR="00EC2C4D" w:rsidRDefault="00EC2C4D" w:rsidP="00B91837">
            <w:pPr>
              <w:tabs>
                <w:tab w:val="left" w:pos="567"/>
              </w:tabs>
              <w:spacing w:after="0" w:line="240" w:lineRule="auto"/>
              <w:jc w:val="right"/>
              <w:rPr>
                <w:rFonts w:ascii="Verdana" w:hAnsi="Verdana"/>
                <w:sz w:val="22"/>
                <w:szCs w:val="22"/>
              </w:rPr>
            </w:pPr>
            <w:r>
              <w:rPr>
                <w:rFonts w:ascii="Verdana" w:hAnsi="Verdana"/>
                <w:sz w:val="22"/>
                <w:szCs w:val="22"/>
              </w:rPr>
              <w:t>£</w:t>
            </w:r>
            <w:r w:rsidR="002731C1">
              <w:rPr>
                <w:rFonts w:ascii="Verdana" w:hAnsi="Verdana"/>
                <w:sz w:val="22"/>
                <w:szCs w:val="22"/>
              </w:rPr>
              <w:t>1270.00</w:t>
            </w:r>
          </w:p>
        </w:tc>
      </w:tr>
      <w:tr w:rsidR="00EC2C4D" w14:paraId="5A4A8DFA" w14:textId="77777777" w:rsidTr="00B91837">
        <w:tc>
          <w:tcPr>
            <w:tcW w:w="8359" w:type="dxa"/>
          </w:tcPr>
          <w:p w14:paraId="79A160DB" w14:textId="77777777" w:rsidR="00EC2C4D" w:rsidRDefault="00EC2C4D" w:rsidP="00B91837">
            <w:pPr>
              <w:tabs>
                <w:tab w:val="left" w:pos="567"/>
              </w:tabs>
              <w:spacing w:after="0" w:line="240" w:lineRule="auto"/>
              <w:rPr>
                <w:rFonts w:ascii="Verdana" w:hAnsi="Verdana"/>
                <w:sz w:val="22"/>
                <w:szCs w:val="22"/>
              </w:rPr>
            </w:pPr>
            <w:r>
              <w:rPr>
                <w:rFonts w:ascii="Verdana" w:hAnsi="Verdana"/>
                <w:sz w:val="22"/>
                <w:szCs w:val="22"/>
              </w:rPr>
              <w:t>TF From Reserve Account to Current Account</w:t>
            </w:r>
          </w:p>
          <w:p w14:paraId="5E622EF9" w14:textId="77777777" w:rsidR="002731C1" w:rsidRDefault="002731C1" w:rsidP="00B91837">
            <w:pPr>
              <w:tabs>
                <w:tab w:val="left" w:pos="567"/>
              </w:tabs>
              <w:spacing w:after="0" w:line="240" w:lineRule="auto"/>
              <w:rPr>
                <w:rFonts w:ascii="Verdana" w:hAnsi="Verdana"/>
                <w:sz w:val="22"/>
                <w:szCs w:val="22"/>
              </w:rPr>
            </w:pPr>
            <w:r>
              <w:rPr>
                <w:rFonts w:ascii="Verdana" w:hAnsi="Verdana"/>
                <w:sz w:val="22"/>
                <w:szCs w:val="22"/>
              </w:rPr>
              <w:t>TF From Reserve Account to Current Account</w:t>
            </w:r>
          </w:p>
          <w:p w14:paraId="1C262E6C" w14:textId="604D472D" w:rsidR="002731C1" w:rsidRPr="00D5483F" w:rsidRDefault="002731C1" w:rsidP="00B91837">
            <w:pPr>
              <w:tabs>
                <w:tab w:val="left" w:pos="567"/>
              </w:tabs>
              <w:spacing w:after="0" w:line="240" w:lineRule="auto"/>
              <w:rPr>
                <w:rFonts w:ascii="Verdana" w:hAnsi="Verdana"/>
                <w:sz w:val="22"/>
                <w:szCs w:val="22"/>
              </w:rPr>
            </w:pPr>
            <w:r>
              <w:rPr>
                <w:rFonts w:ascii="Verdana" w:hAnsi="Verdana"/>
                <w:sz w:val="22"/>
                <w:szCs w:val="22"/>
              </w:rPr>
              <w:t>TF From Reserve Account to Current Account</w:t>
            </w:r>
          </w:p>
        </w:tc>
        <w:tc>
          <w:tcPr>
            <w:tcW w:w="1711" w:type="dxa"/>
          </w:tcPr>
          <w:p w14:paraId="6DDFB3AB" w14:textId="39FC9B09" w:rsidR="00EC2C4D" w:rsidRDefault="00EC2C4D" w:rsidP="00B91837">
            <w:pPr>
              <w:tabs>
                <w:tab w:val="left" w:pos="567"/>
              </w:tabs>
              <w:spacing w:after="0" w:line="240" w:lineRule="auto"/>
              <w:jc w:val="right"/>
              <w:rPr>
                <w:rFonts w:ascii="Verdana" w:hAnsi="Verdana"/>
                <w:sz w:val="22"/>
                <w:szCs w:val="22"/>
              </w:rPr>
            </w:pPr>
            <w:r>
              <w:rPr>
                <w:rFonts w:ascii="Verdana" w:hAnsi="Verdana"/>
                <w:sz w:val="22"/>
                <w:szCs w:val="22"/>
              </w:rPr>
              <w:t>£</w:t>
            </w:r>
            <w:r w:rsidR="002731C1">
              <w:rPr>
                <w:rFonts w:ascii="Verdana" w:hAnsi="Verdana"/>
                <w:sz w:val="22"/>
                <w:szCs w:val="22"/>
              </w:rPr>
              <w:t>200.00</w:t>
            </w:r>
          </w:p>
          <w:p w14:paraId="2AD4821C" w14:textId="09A2F180" w:rsidR="002731C1" w:rsidRDefault="002731C1" w:rsidP="00B91837">
            <w:pPr>
              <w:tabs>
                <w:tab w:val="left" w:pos="567"/>
              </w:tabs>
              <w:spacing w:after="0" w:line="240" w:lineRule="auto"/>
              <w:jc w:val="right"/>
              <w:rPr>
                <w:rFonts w:ascii="Verdana" w:hAnsi="Verdana"/>
                <w:sz w:val="22"/>
                <w:szCs w:val="22"/>
              </w:rPr>
            </w:pPr>
            <w:r>
              <w:rPr>
                <w:rFonts w:ascii="Verdana" w:hAnsi="Verdana"/>
                <w:sz w:val="22"/>
                <w:szCs w:val="22"/>
              </w:rPr>
              <w:t>£50.00</w:t>
            </w:r>
          </w:p>
          <w:p w14:paraId="7FCF99C1" w14:textId="37179C11" w:rsidR="002731C1" w:rsidRDefault="002731C1" w:rsidP="00B91837">
            <w:pPr>
              <w:tabs>
                <w:tab w:val="left" w:pos="567"/>
              </w:tabs>
              <w:spacing w:after="0" w:line="240" w:lineRule="auto"/>
              <w:jc w:val="right"/>
              <w:rPr>
                <w:rFonts w:ascii="Verdana" w:hAnsi="Verdana"/>
                <w:sz w:val="22"/>
                <w:szCs w:val="22"/>
              </w:rPr>
            </w:pPr>
            <w:r>
              <w:rPr>
                <w:rFonts w:ascii="Verdana" w:hAnsi="Verdana"/>
                <w:sz w:val="22"/>
                <w:szCs w:val="22"/>
              </w:rPr>
              <w:t>£850.00</w:t>
            </w:r>
          </w:p>
        </w:tc>
      </w:tr>
      <w:tr w:rsidR="00EC2C4D" w:rsidRPr="00EC2C4D" w14:paraId="5DCCFC99" w14:textId="77777777" w:rsidTr="00B91837">
        <w:tc>
          <w:tcPr>
            <w:tcW w:w="8359" w:type="dxa"/>
          </w:tcPr>
          <w:p w14:paraId="79359C3D" w14:textId="47BC13FF" w:rsidR="00EC2C4D" w:rsidRPr="00EC2C4D" w:rsidRDefault="0095415C" w:rsidP="00B91837">
            <w:pPr>
              <w:tabs>
                <w:tab w:val="left" w:pos="567"/>
              </w:tabs>
              <w:spacing w:after="0" w:line="240" w:lineRule="auto"/>
              <w:rPr>
                <w:rFonts w:ascii="Verdana" w:hAnsi="Verdana"/>
                <w:b/>
                <w:bCs/>
                <w:sz w:val="22"/>
                <w:szCs w:val="22"/>
              </w:rPr>
            </w:pPr>
            <w:r>
              <w:rPr>
                <w:rFonts w:ascii="Verdana" w:hAnsi="Verdana"/>
                <w:b/>
                <w:bCs/>
                <w:sz w:val="22"/>
                <w:szCs w:val="22"/>
              </w:rPr>
              <w:t>Other Financial</w:t>
            </w:r>
            <w:r w:rsidR="00EC2C4D" w:rsidRPr="00EC2C4D">
              <w:rPr>
                <w:rFonts w:ascii="Verdana" w:hAnsi="Verdana"/>
                <w:b/>
                <w:bCs/>
                <w:sz w:val="22"/>
                <w:szCs w:val="22"/>
              </w:rPr>
              <w:t>-</w:t>
            </w:r>
          </w:p>
        </w:tc>
        <w:tc>
          <w:tcPr>
            <w:tcW w:w="1711" w:type="dxa"/>
          </w:tcPr>
          <w:p w14:paraId="18B7C9FF" w14:textId="77777777" w:rsidR="00EC2C4D" w:rsidRPr="00EC2C4D" w:rsidRDefault="00EC2C4D" w:rsidP="00B91837">
            <w:pPr>
              <w:tabs>
                <w:tab w:val="left" w:pos="567"/>
              </w:tabs>
              <w:spacing w:after="0" w:line="240" w:lineRule="auto"/>
              <w:jc w:val="right"/>
              <w:rPr>
                <w:rFonts w:ascii="Verdana" w:hAnsi="Verdana"/>
                <w:b/>
                <w:bCs/>
                <w:sz w:val="22"/>
                <w:szCs w:val="22"/>
              </w:rPr>
            </w:pPr>
          </w:p>
        </w:tc>
      </w:tr>
    </w:tbl>
    <w:p w14:paraId="232AA1C4" w14:textId="35597EC3" w:rsidR="00EC2C4D" w:rsidRPr="00EC2C4D" w:rsidRDefault="0095415C" w:rsidP="00EC2C4D">
      <w:pPr>
        <w:tabs>
          <w:tab w:val="left" w:pos="567"/>
        </w:tabs>
        <w:spacing w:after="0" w:line="240" w:lineRule="auto"/>
        <w:rPr>
          <w:rFonts w:ascii="Verdana" w:hAnsi="Verdana"/>
          <w:sz w:val="22"/>
          <w:szCs w:val="22"/>
        </w:rPr>
      </w:pPr>
      <w:r>
        <w:rPr>
          <w:rFonts w:ascii="Verdana" w:hAnsi="Verdana"/>
          <w:sz w:val="22"/>
          <w:szCs w:val="22"/>
        </w:rPr>
        <w:t>Annual Return – AGAR – timeframe extended by 2 months, due to national Covid 19 measures</w:t>
      </w:r>
    </w:p>
    <w:p w14:paraId="6861AA21" w14:textId="77777777" w:rsidR="00D5483F" w:rsidRPr="00D5483F" w:rsidRDefault="00D5483F" w:rsidP="00D5483F">
      <w:pPr>
        <w:tabs>
          <w:tab w:val="left" w:pos="567"/>
        </w:tabs>
        <w:spacing w:after="0" w:line="240" w:lineRule="auto"/>
        <w:rPr>
          <w:rFonts w:ascii="Verdana" w:hAnsi="Verdana"/>
          <w:sz w:val="22"/>
          <w:szCs w:val="22"/>
        </w:rPr>
      </w:pPr>
    </w:p>
    <w:p w14:paraId="0ED07E54" w14:textId="213036D4" w:rsidR="00014433" w:rsidRDefault="00014433" w:rsidP="005E1895">
      <w:pPr>
        <w:pStyle w:val="ListParagraph"/>
        <w:numPr>
          <w:ilvl w:val="0"/>
          <w:numId w:val="25"/>
        </w:numPr>
        <w:tabs>
          <w:tab w:val="left" w:pos="426"/>
        </w:tabs>
        <w:spacing w:after="0" w:line="240" w:lineRule="auto"/>
        <w:ind w:left="0" w:firstLine="0"/>
        <w:rPr>
          <w:rFonts w:ascii="Verdana" w:hAnsi="Verdana"/>
          <w:b/>
          <w:bCs/>
          <w:sz w:val="22"/>
          <w:szCs w:val="22"/>
          <w:u w:val="single"/>
        </w:rPr>
      </w:pPr>
      <w:r>
        <w:rPr>
          <w:rFonts w:ascii="Verdana" w:hAnsi="Verdana"/>
          <w:b/>
          <w:bCs/>
          <w:sz w:val="22"/>
          <w:szCs w:val="22"/>
          <w:u w:val="single"/>
        </w:rPr>
        <w:t>Planning</w:t>
      </w:r>
    </w:p>
    <w:p w14:paraId="51B420C1" w14:textId="1E60DF58" w:rsidR="00EC2C4D" w:rsidRDefault="00EC2C4D" w:rsidP="00EC2C4D">
      <w:pPr>
        <w:pStyle w:val="ListParagraph"/>
        <w:numPr>
          <w:ilvl w:val="1"/>
          <w:numId w:val="25"/>
        </w:numPr>
        <w:tabs>
          <w:tab w:val="left" w:pos="567"/>
        </w:tabs>
        <w:spacing w:after="0" w:line="240" w:lineRule="auto"/>
        <w:ind w:left="0" w:firstLine="0"/>
        <w:rPr>
          <w:rFonts w:ascii="Verdana" w:hAnsi="Verdana"/>
          <w:b/>
          <w:bCs/>
          <w:sz w:val="22"/>
          <w:szCs w:val="22"/>
        </w:rPr>
      </w:pPr>
      <w:r w:rsidRPr="00EC2C4D">
        <w:rPr>
          <w:rFonts w:ascii="Verdana" w:hAnsi="Verdana"/>
          <w:b/>
          <w:bCs/>
          <w:sz w:val="22"/>
          <w:szCs w:val="22"/>
        </w:rPr>
        <w:t>Application Decisions</w:t>
      </w:r>
    </w:p>
    <w:p w14:paraId="64E02CF1" w14:textId="77777777" w:rsidR="00124A93" w:rsidRDefault="00651E64" w:rsidP="00124A93">
      <w:pPr>
        <w:tabs>
          <w:tab w:val="left" w:pos="567"/>
        </w:tabs>
        <w:spacing w:after="0" w:line="240" w:lineRule="auto"/>
        <w:rPr>
          <w:rFonts w:ascii="Verdana" w:hAnsi="Verdana"/>
          <w:i/>
          <w:iCs/>
          <w:sz w:val="22"/>
          <w:szCs w:val="22"/>
        </w:rPr>
      </w:pPr>
      <w:r>
        <w:rPr>
          <w:rFonts w:ascii="Verdana" w:hAnsi="Verdana"/>
          <w:sz w:val="22"/>
          <w:szCs w:val="22"/>
        </w:rPr>
        <w:tab/>
      </w:r>
      <w:r>
        <w:rPr>
          <w:rFonts w:ascii="Verdana" w:hAnsi="Verdana"/>
          <w:i/>
          <w:iCs/>
          <w:sz w:val="22"/>
          <w:szCs w:val="22"/>
        </w:rPr>
        <w:t xml:space="preserve">20/00206/FUL </w:t>
      </w:r>
      <w:r w:rsidR="00124A93">
        <w:rPr>
          <w:rFonts w:ascii="Verdana" w:hAnsi="Verdana"/>
          <w:i/>
          <w:iCs/>
          <w:sz w:val="22"/>
          <w:szCs w:val="22"/>
        </w:rPr>
        <w:t xml:space="preserve">Orchard House Dynes Hall Road. Change of use from garden to equestrian </w:t>
      </w:r>
    </w:p>
    <w:p w14:paraId="0DE07862" w14:textId="577FE2E2" w:rsidR="00924100" w:rsidRPr="00651E64" w:rsidRDefault="00124A93" w:rsidP="00124A93">
      <w:pPr>
        <w:tabs>
          <w:tab w:val="left" w:pos="567"/>
        </w:tabs>
        <w:spacing w:after="0" w:line="240" w:lineRule="auto"/>
        <w:rPr>
          <w:rFonts w:ascii="Verdana" w:hAnsi="Verdana"/>
          <w:i/>
          <w:iCs/>
          <w:sz w:val="22"/>
          <w:szCs w:val="22"/>
        </w:rPr>
      </w:pPr>
      <w:r>
        <w:rPr>
          <w:rFonts w:ascii="Verdana" w:hAnsi="Verdana"/>
          <w:i/>
          <w:iCs/>
          <w:sz w:val="22"/>
          <w:szCs w:val="22"/>
        </w:rPr>
        <w:t xml:space="preserve">       </w:t>
      </w:r>
      <w:r w:rsidR="00FF5E14">
        <w:rPr>
          <w:rFonts w:ascii="Verdana" w:hAnsi="Verdana"/>
          <w:i/>
          <w:iCs/>
          <w:sz w:val="22"/>
          <w:szCs w:val="22"/>
        </w:rPr>
        <w:t>ménage</w:t>
      </w:r>
      <w:r>
        <w:rPr>
          <w:rFonts w:ascii="Verdana" w:hAnsi="Verdana"/>
          <w:i/>
          <w:iCs/>
          <w:sz w:val="22"/>
          <w:szCs w:val="22"/>
        </w:rPr>
        <w:t xml:space="preserve"> and addition of new stable blocks.</w:t>
      </w:r>
      <w:r w:rsidR="00651E64">
        <w:rPr>
          <w:rFonts w:ascii="Verdana" w:hAnsi="Verdana"/>
          <w:i/>
          <w:iCs/>
          <w:sz w:val="22"/>
          <w:szCs w:val="22"/>
        </w:rPr>
        <w:t xml:space="preserve"> </w:t>
      </w:r>
      <w:r w:rsidR="00651E64" w:rsidRPr="00651E64">
        <w:rPr>
          <w:rFonts w:ascii="Verdana" w:hAnsi="Verdana"/>
          <w:sz w:val="22"/>
          <w:szCs w:val="22"/>
        </w:rPr>
        <w:t>Granted 3 4 2020</w:t>
      </w:r>
    </w:p>
    <w:p w14:paraId="2243CECA" w14:textId="6AA69010" w:rsidR="00EC2C4D" w:rsidRDefault="00EC2C4D" w:rsidP="00EC2C4D">
      <w:pPr>
        <w:pStyle w:val="ListParagraph"/>
        <w:numPr>
          <w:ilvl w:val="1"/>
          <w:numId w:val="25"/>
        </w:numPr>
        <w:tabs>
          <w:tab w:val="left" w:pos="567"/>
        </w:tabs>
        <w:spacing w:after="0" w:line="240" w:lineRule="auto"/>
        <w:ind w:left="0" w:firstLine="0"/>
        <w:rPr>
          <w:rFonts w:ascii="Verdana" w:hAnsi="Verdana"/>
          <w:b/>
          <w:bCs/>
          <w:sz w:val="22"/>
          <w:szCs w:val="22"/>
        </w:rPr>
      </w:pPr>
      <w:r>
        <w:rPr>
          <w:rFonts w:ascii="Verdana" w:hAnsi="Verdana"/>
          <w:b/>
          <w:bCs/>
          <w:sz w:val="22"/>
          <w:szCs w:val="22"/>
        </w:rPr>
        <w:t>Applications Received</w:t>
      </w:r>
    </w:p>
    <w:p w14:paraId="4C00130A" w14:textId="22C17A35" w:rsidR="00014433" w:rsidRPr="00A0765C" w:rsidRDefault="00A0765C" w:rsidP="00014433">
      <w:pPr>
        <w:pStyle w:val="ListParagraph"/>
        <w:rPr>
          <w:rFonts w:ascii="Verdana" w:hAnsi="Verdana"/>
          <w:i/>
          <w:iCs/>
          <w:sz w:val="22"/>
          <w:szCs w:val="22"/>
        </w:rPr>
      </w:pPr>
      <w:r w:rsidRPr="00A0765C">
        <w:rPr>
          <w:rFonts w:ascii="Verdana" w:hAnsi="Verdana"/>
          <w:i/>
          <w:iCs/>
          <w:sz w:val="22"/>
          <w:szCs w:val="22"/>
        </w:rPr>
        <w:t>20/00659/PLD</w:t>
      </w:r>
      <w:r>
        <w:rPr>
          <w:rFonts w:ascii="Verdana" w:hAnsi="Verdana"/>
          <w:i/>
          <w:iCs/>
          <w:sz w:val="22"/>
          <w:szCs w:val="22"/>
        </w:rPr>
        <w:t xml:space="preserve"> The Maples Toldis Hall Road. Certificate of lawfulness for a Proposed Use or Development. Notification only – consultation not invited.</w:t>
      </w:r>
    </w:p>
    <w:p w14:paraId="771DC449" w14:textId="7A1EB87F" w:rsidR="00014433" w:rsidRDefault="00014433" w:rsidP="005E1895">
      <w:pPr>
        <w:pStyle w:val="ListParagraph"/>
        <w:numPr>
          <w:ilvl w:val="0"/>
          <w:numId w:val="25"/>
        </w:numPr>
        <w:tabs>
          <w:tab w:val="left" w:pos="426"/>
        </w:tabs>
        <w:spacing w:after="0" w:line="240" w:lineRule="auto"/>
        <w:ind w:left="0" w:firstLine="0"/>
        <w:rPr>
          <w:rFonts w:ascii="Verdana" w:hAnsi="Verdana"/>
          <w:b/>
          <w:bCs/>
          <w:sz w:val="22"/>
          <w:szCs w:val="22"/>
          <w:u w:val="single"/>
        </w:rPr>
      </w:pPr>
      <w:r>
        <w:rPr>
          <w:rFonts w:ascii="Verdana" w:hAnsi="Verdana"/>
          <w:b/>
          <w:bCs/>
          <w:sz w:val="22"/>
          <w:szCs w:val="22"/>
          <w:u w:val="single"/>
        </w:rPr>
        <w:t>Correspondence</w:t>
      </w:r>
    </w:p>
    <w:p w14:paraId="0B682372" w14:textId="3D78C6BA" w:rsidR="00014433" w:rsidRDefault="009E3702" w:rsidP="009E3702">
      <w:pPr>
        <w:pStyle w:val="ListParagraph"/>
        <w:ind w:left="0"/>
        <w:rPr>
          <w:rFonts w:ascii="Verdana" w:hAnsi="Verdana"/>
          <w:sz w:val="22"/>
          <w:szCs w:val="22"/>
        </w:rPr>
      </w:pPr>
      <w:r>
        <w:rPr>
          <w:rFonts w:ascii="Verdana" w:hAnsi="Verdana"/>
          <w:b/>
          <w:bCs/>
          <w:sz w:val="22"/>
          <w:szCs w:val="22"/>
        </w:rPr>
        <w:t xml:space="preserve">Parishioner Correspondence </w:t>
      </w:r>
      <w:r>
        <w:rPr>
          <w:rFonts w:ascii="Verdana" w:hAnsi="Verdana"/>
          <w:sz w:val="22"/>
          <w:szCs w:val="22"/>
        </w:rPr>
        <w:t xml:space="preserve">– </w:t>
      </w:r>
      <w:r w:rsidR="00864253">
        <w:rPr>
          <w:rFonts w:ascii="Verdana" w:hAnsi="Verdana"/>
          <w:sz w:val="22"/>
          <w:szCs w:val="22"/>
        </w:rPr>
        <w:t>2</w:t>
      </w:r>
      <w:r w:rsidR="00687B83">
        <w:rPr>
          <w:rFonts w:ascii="Verdana" w:hAnsi="Verdana"/>
          <w:sz w:val="22"/>
          <w:szCs w:val="22"/>
        </w:rPr>
        <w:t xml:space="preserve"> x</w:t>
      </w:r>
      <w:r w:rsidR="00864253">
        <w:rPr>
          <w:rFonts w:ascii="Verdana" w:hAnsi="Verdana"/>
          <w:sz w:val="22"/>
          <w:szCs w:val="22"/>
        </w:rPr>
        <w:t xml:space="preserve"> parishioner concerns raised regarding </w:t>
      </w:r>
      <w:r w:rsidR="003B4519">
        <w:rPr>
          <w:rFonts w:ascii="Verdana" w:hAnsi="Verdana"/>
          <w:sz w:val="22"/>
          <w:szCs w:val="22"/>
        </w:rPr>
        <w:t xml:space="preserve">alleged breaches of </w:t>
      </w:r>
      <w:r w:rsidR="00864253">
        <w:rPr>
          <w:rFonts w:ascii="Verdana" w:hAnsi="Verdana"/>
          <w:sz w:val="22"/>
          <w:szCs w:val="22"/>
        </w:rPr>
        <w:t>social distancing within the village. Both correspondents advised that parish council have no powers to act and to refer to the appropriate authorised authority, in this case Essex Police, should they consider the alleged breach</w:t>
      </w:r>
      <w:r w:rsidR="003B4519">
        <w:rPr>
          <w:rFonts w:ascii="Verdana" w:hAnsi="Verdana"/>
          <w:sz w:val="22"/>
          <w:szCs w:val="22"/>
        </w:rPr>
        <w:t>es</w:t>
      </w:r>
      <w:r w:rsidR="00864253">
        <w:rPr>
          <w:rFonts w:ascii="Verdana" w:hAnsi="Verdana"/>
          <w:sz w:val="22"/>
          <w:szCs w:val="22"/>
        </w:rPr>
        <w:t xml:space="preserve"> </w:t>
      </w:r>
      <w:r w:rsidR="00687B83">
        <w:rPr>
          <w:rFonts w:ascii="Verdana" w:hAnsi="Verdana"/>
          <w:sz w:val="22"/>
          <w:szCs w:val="22"/>
        </w:rPr>
        <w:t xml:space="preserve">to </w:t>
      </w:r>
      <w:r w:rsidR="00864253">
        <w:rPr>
          <w:rFonts w:ascii="Verdana" w:hAnsi="Verdana"/>
          <w:sz w:val="22"/>
          <w:szCs w:val="22"/>
        </w:rPr>
        <w:t>be of a serious nature.</w:t>
      </w:r>
    </w:p>
    <w:p w14:paraId="72E6D9BB" w14:textId="317B0C62" w:rsidR="009E3702" w:rsidRPr="009E3702" w:rsidRDefault="00687B83" w:rsidP="009E3702">
      <w:pPr>
        <w:pStyle w:val="ListParagraph"/>
        <w:ind w:left="0"/>
        <w:rPr>
          <w:rFonts w:ascii="Verdana" w:hAnsi="Verdana"/>
          <w:sz w:val="22"/>
          <w:szCs w:val="22"/>
        </w:rPr>
      </w:pPr>
      <w:r>
        <w:rPr>
          <w:rFonts w:ascii="Verdana" w:hAnsi="Verdana"/>
          <w:sz w:val="22"/>
          <w:szCs w:val="22"/>
        </w:rPr>
        <w:t>E-mail enquiry received regarding the cutting of the grass verge from Mill Farm through to Hampers Lane junction, specifically was it necessary to continue to cut verges as BDC had launched an initiative to reduce Spring cuts this year, and concern the verge had been cut too harshly. Correspondent advised that the BDC initiative is pilot project and not available for all parishes/towns to participate in at present time. The council will monitor how the scheme works in the pilot areas and take into consideration, alongside usual safety and litter deliberations when reviewing the verge cutting contract in 2021.Note the area in question falls within both Great &amp; Little Maplestead so LMPC copied in for reference.</w:t>
      </w:r>
    </w:p>
    <w:p w14:paraId="0A1C532D" w14:textId="77777777" w:rsidR="009E3702" w:rsidRPr="009E3702" w:rsidRDefault="009E3702" w:rsidP="00924100">
      <w:pPr>
        <w:spacing w:after="0"/>
        <w:rPr>
          <w:rFonts w:ascii="Verdana" w:hAnsi="Verdana"/>
          <w:sz w:val="22"/>
          <w:szCs w:val="22"/>
        </w:rPr>
      </w:pPr>
    </w:p>
    <w:p w14:paraId="5588F1FB" w14:textId="06F5BA86" w:rsidR="00014433" w:rsidRDefault="00014433" w:rsidP="005E1895">
      <w:pPr>
        <w:pStyle w:val="ListParagraph"/>
        <w:numPr>
          <w:ilvl w:val="0"/>
          <w:numId w:val="25"/>
        </w:numPr>
        <w:tabs>
          <w:tab w:val="left" w:pos="426"/>
        </w:tabs>
        <w:spacing w:after="0" w:line="240" w:lineRule="auto"/>
        <w:ind w:left="0" w:firstLine="0"/>
        <w:rPr>
          <w:rFonts w:ascii="Verdana" w:hAnsi="Verdana"/>
          <w:b/>
          <w:bCs/>
          <w:sz w:val="22"/>
          <w:szCs w:val="22"/>
          <w:u w:val="single"/>
        </w:rPr>
      </w:pPr>
      <w:r>
        <w:rPr>
          <w:rFonts w:ascii="Verdana" w:hAnsi="Verdana"/>
          <w:b/>
          <w:bCs/>
          <w:sz w:val="22"/>
          <w:szCs w:val="22"/>
          <w:u w:val="single"/>
        </w:rPr>
        <w:t>Items for the Next Agenda</w:t>
      </w:r>
    </w:p>
    <w:p w14:paraId="12DBD0EB" w14:textId="77777777" w:rsidR="00014433" w:rsidRDefault="009E3702" w:rsidP="009E3702">
      <w:pPr>
        <w:pStyle w:val="ListParagraph"/>
        <w:numPr>
          <w:ilvl w:val="0"/>
          <w:numId w:val="27"/>
        </w:numPr>
        <w:rPr>
          <w:rFonts w:ascii="Verdana" w:hAnsi="Verdana"/>
          <w:sz w:val="22"/>
          <w:szCs w:val="22"/>
        </w:rPr>
      </w:pPr>
      <w:r>
        <w:rPr>
          <w:rFonts w:ascii="Verdana" w:hAnsi="Verdana"/>
          <w:sz w:val="22"/>
          <w:szCs w:val="22"/>
        </w:rPr>
        <w:t>Wildflower planting at the Village Playing Field or other location</w:t>
      </w:r>
    </w:p>
    <w:p w14:paraId="69A4DC0C" w14:textId="50EBC064" w:rsidR="009E3702" w:rsidRDefault="009E3702" w:rsidP="009E3702">
      <w:pPr>
        <w:pStyle w:val="ListParagraph"/>
        <w:numPr>
          <w:ilvl w:val="0"/>
          <w:numId w:val="27"/>
        </w:numPr>
        <w:spacing w:after="0"/>
        <w:rPr>
          <w:rFonts w:ascii="Verdana" w:hAnsi="Verdana"/>
          <w:sz w:val="22"/>
          <w:szCs w:val="22"/>
        </w:rPr>
      </w:pPr>
      <w:r>
        <w:rPr>
          <w:rFonts w:ascii="Verdana" w:hAnsi="Verdana"/>
          <w:sz w:val="22"/>
          <w:szCs w:val="22"/>
        </w:rPr>
        <w:t>VETS x2 scheme</w:t>
      </w:r>
    </w:p>
    <w:p w14:paraId="7F409424" w14:textId="77777777" w:rsidR="009E3702" w:rsidRPr="009E3702" w:rsidRDefault="009E3702" w:rsidP="009E3702">
      <w:pPr>
        <w:spacing w:after="0"/>
        <w:rPr>
          <w:rFonts w:ascii="Verdana" w:hAnsi="Verdana"/>
          <w:sz w:val="22"/>
          <w:szCs w:val="22"/>
        </w:rPr>
      </w:pPr>
    </w:p>
    <w:p w14:paraId="7F0235ED" w14:textId="3229623E" w:rsidR="00014433" w:rsidRPr="007E2B7D" w:rsidRDefault="00014433" w:rsidP="005E1895">
      <w:pPr>
        <w:pStyle w:val="ListParagraph"/>
        <w:numPr>
          <w:ilvl w:val="0"/>
          <w:numId w:val="25"/>
        </w:numPr>
        <w:tabs>
          <w:tab w:val="left" w:pos="426"/>
        </w:tabs>
        <w:spacing w:after="0" w:line="240" w:lineRule="auto"/>
        <w:ind w:left="0" w:firstLine="0"/>
        <w:rPr>
          <w:rFonts w:ascii="Verdana" w:hAnsi="Verdana"/>
          <w:b/>
          <w:bCs/>
          <w:sz w:val="22"/>
          <w:szCs w:val="22"/>
          <w:u w:val="single"/>
        </w:rPr>
      </w:pPr>
      <w:r>
        <w:rPr>
          <w:rFonts w:ascii="Verdana" w:hAnsi="Verdana"/>
          <w:b/>
          <w:bCs/>
          <w:sz w:val="22"/>
          <w:szCs w:val="22"/>
          <w:u w:val="single"/>
        </w:rPr>
        <w:t>Date of next meeting</w:t>
      </w:r>
    </w:p>
    <w:p w14:paraId="60296C1A" w14:textId="4560DBAD" w:rsidR="005E1895" w:rsidRDefault="00864253" w:rsidP="005E1895">
      <w:pPr>
        <w:spacing w:after="0" w:line="240" w:lineRule="auto"/>
        <w:rPr>
          <w:rFonts w:ascii="Verdana" w:hAnsi="Verdana"/>
          <w:sz w:val="22"/>
          <w:szCs w:val="22"/>
        </w:rPr>
      </w:pPr>
      <w:r>
        <w:rPr>
          <w:rFonts w:ascii="Verdana" w:hAnsi="Verdana"/>
          <w:sz w:val="22"/>
          <w:szCs w:val="22"/>
        </w:rPr>
        <w:t>Currently scheduled for 8</w:t>
      </w:r>
      <w:r w:rsidRPr="00864253">
        <w:rPr>
          <w:rFonts w:ascii="Verdana" w:hAnsi="Verdana"/>
          <w:sz w:val="22"/>
          <w:szCs w:val="22"/>
          <w:vertAlign w:val="superscript"/>
        </w:rPr>
        <w:t>th</w:t>
      </w:r>
      <w:r>
        <w:rPr>
          <w:rFonts w:ascii="Verdana" w:hAnsi="Verdana"/>
          <w:sz w:val="22"/>
          <w:szCs w:val="22"/>
        </w:rPr>
        <w:t xml:space="preserve"> July 2020 – subject to national guidelines</w:t>
      </w:r>
    </w:p>
    <w:p w14:paraId="2FD857B6" w14:textId="19A9AF1F" w:rsidR="0095415C" w:rsidRDefault="0095415C" w:rsidP="005E1895">
      <w:pPr>
        <w:spacing w:after="0" w:line="240" w:lineRule="auto"/>
        <w:rPr>
          <w:rFonts w:ascii="Verdana" w:hAnsi="Verdana"/>
          <w:sz w:val="22"/>
          <w:szCs w:val="22"/>
        </w:rPr>
      </w:pPr>
    </w:p>
    <w:p w14:paraId="1DAFEF1D" w14:textId="0174DD84" w:rsidR="0095415C" w:rsidRDefault="0095415C" w:rsidP="005E1895">
      <w:pPr>
        <w:spacing w:after="0" w:line="240" w:lineRule="auto"/>
        <w:rPr>
          <w:rFonts w:ascii="Verdana" w:hAnsi="Verdana"/>
          <w:sz w:val="22"/>
          <w:szCs w:val="22"/>
        </w:rPr>
      </w:pPr>
    </w:p>
    <w:p w14:paraId="7B62CA58" w14:textId="17F9976C" w:rsidR="0095415C" w:rsidRDefault="0095415C" w:rsidP="005E1895">
      <w:pPr>
        <w:spacing w:after="0" w:line="240" w:lineRule="auto"/>
        <w:rPr>
          <w:rFonts w:ascii="Verdana" w:hAnsi="Verdana"/>
          <w:sz w:val="22"/>
          <w:szCs w:val="22"/>
        </w:rPr>
      </w:pPr>
    </w:p>
    <w:p w14:paraId="5D32B637" w14:textId="7D854DB8" w:rsidR="0095415C" w:rsidRDefault="0095415C" w:rsidP="005E1895">
      <w:pPr>
        <w:spacing w:after="0" w:line="240" w:lineRule="auto"/>
        <w:rPr>
          <w:rFonts w:ascii="Verdana" w:hAnsi="Verdana"/>
          <w:sz w:val="22"/>
          <w:szCs w:val="22"/>
        </w:rPr>
      </w:pPr>
    </w:p>
    <w:p w14:paraId="7E0381B4" w14:textId="6793CBF3" w:rsidR="0095415C" w:rsidRDefault="0095415C" w:rsidP="005E1895">
      <w:pPr>
        <w:spacing w:after="0" w:line="240" w:lineRule="auto"/>
        <w:rPr>
          <w:rFonts w:ascii="Verdana" w:hAnsi="Verdana"/>
          <w:sz w:val="22"/>
          <w:szCs w:val="22"/>
        </w:rPr>
      </w:pPr>
    </w:p>
    <w:p w14:paraId="2C042955" w14:textId="36B2659D" w:rsidR="0095415C" w:rsidRDefault="0095415C" w:rsidP="005E1895">
      <w:pPr>
        <w:spacing w:after="0" w:line="240" w:lineRule="auto"/>
        <w:rPr>
          <w:rFonts w:ascii="Verdana" w:hAnsi="Verdana"/>
          <w:sz w:val="22"/>
          <w:szCs w:val="22"/>
        </w:rPr>
      </w:pPr>
    </w:p>
    <w:p w14:paraId="74F119AA" w14:textId="60728298" w:rsidR="0095415C" w:rsidRDefault="0095415C" w:rsidP="005E1895">
      <w:pPr>
        <w:spacing w:after="0" w:line="240" w:lineRule="auto"/>
        <w:rPr>
          <w:rFonts w:ascii="Verdana" w:hAnsi="Verdana"/>
          <w:sz w:val="22"/>
          <w:szCs w:val="22"/>
        </w:rPr>
      </w:pPr>
    </w:p>
    <w:p w14:paraId="2408FA88" w14:textId="36A193AC" w:rsidR="0095415C" w:rsidRPr="005E1895" w:rsidRDefault="0095415C" w:rsidP="005E1895">
      <w:pPr>
        <w:spacing w:after="0" w:line="240" w:lineRule="auto"/>
        <w:rPr>
          <w:rFonts w:ascii="Verdana" w:hAnsi="Verdana"/>
          <w:sz w:val="22"/>
          <w:szCs w:val="22"/>
        </w:rPr>
      </w:pPr>
      <w:r>
        <w:rPr>
          <w:rFonts w:ascii="Verdana" w:hAnsi="Verdana"/>
          <w:sz w:val="22"/>
          <w:szCs w:val="22"/>
        </w:rPr>
        <w:t>Minutes Prepare by Mrs Ann Crisp, Clerk 31May2020</w:t>
      </w:r>
    </w:p>
    <w:sectPr w:rsidR="0095415C" w:rsidRPr="005E1895" w:rsidSect="0092410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AC502" w14:textId="77777777" w:rsidR="00FD11EF" w:rsidRDefault="00FD11EF">
      <w:pPr>
        <w:spacing w:after="0" w:line="240" w:lineRule="auto"/>
      </w:pPr>
      <w:r>
        <w:separator/>
      </w:r>
    </w:p>
  </w:endnote>
  <w:endnote w:type="continuationSeparator" w:id="0">
    <w:p w14:paraId="0D623E5B" w14:textId="77777777" w:rsidR="00FD11EF" w:rsidRDefault="00FD1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GPGothicE">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6E4BA" w14:textId="77777777" w:rsidR="00FD11EF" w:rsidRDefault="00FD11EF">
      <w:pPr>
        <w:spacing w:after="0" w:line="240" w:lineRule="auto"/>
      </w:pPr>
      <w:r>
        <w:separator/>
      </w:r>
    </w:p>
  </w:footnote>
  <w:footnote w:type="continuationSeparator" w:id="0">
    <w:p w14:paraId="2AC0B212" w14:textId="77777777" w:rsidR="00FD11EF" w:rsidRDefault="00FD1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685075"/>
    <w:multiLevelType w:val="multilevel"/>
    <w:tmpl w:val="F6A48DD8"/>
    <w:lvl w:ilvl="0">
      <w:start w:val="1"/>
      <w:numFmt w:val="decimal"/>
      <w:lvlText w:val="%1."/>
      <w:lvlJc w:val="left"/>
      <w:pPr>
        <w:ind w:left="1494" w:hanging="360"/>
      </w:pPr>
    </w:lvl>
    <w:lvl w:ilvl="1">
      <w:start w:val="1"/>
      <w:numFmt w:val="decimal"/>
      <w:lvlText w:val="%1.%2."/>
      <w:lvlJc w:val="left"/>
      <w:pPr>
        <w:ind w:left="1926" w:hanging="432"/>
      </w:pPr>
      <w:rPr>
        <w:b w:val="0"/>
        <w:bCs w:val="0"/>
      </w:r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6" w15:restartNumberingAfterBreak="0">
    <w:nsid w:val="0E450D2A"/>
    <w:multiLevelType w:val="hybridMultilevel"/>
    <w:tmpl w:val="649C1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5A76786"/>
    <w:multiLevelType w:val="hybridMultilevel"/>
    <w:tmpl w:val="7F00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4F2436"/>
    <w:multiLevelType w:val="hybridMultilevel"/>
    <w:tmpl w:val="CC28A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7535FB"/>
    <w:multiLevelType w:val="hybridMultilevel"/>
    <w:tmpl w:val="51A0BB1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abstractNumId w:val="4"/>
  </w:num>
  <w:num w:numId="2">
    <w:abstractNumId w:val="8"/>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7"/>
  </w:num>
  <w:num w:numId="12">
    <w:abstractNumId w:val="8"/>
  </w:num>
  <w:num w:numId="13">
    <w:abstractNumId w:val="3"/>
  </w:num>
  <w:num w:numId="14">
    <w:abstractNumId w:val="2"/>
  </w:num>
  <w:num w:numId="15">
    <w:abstractNumId w:val="1"/>
  </w:num>
  <w:num w:numId="16">
    <w:abstractNumId w:val="0"/>
  </w:num>
  <w:num w:numId="17">
    <w:abstractNumId w:val="7"/>
  </w:num>
  <w:num w:numId="18">
    <w:abstractNumId w:val="8"/>
  </w:num>
  <w:num w:numId="19">
    <w:abstractNumId w:val="3"/>
  </w:num>
  <w:num w:numId="20">
    <w:abstractNumId w:val="2"/>
  </w:num>
  <w:num w:numId="21">
    <w:abstractNumId w:val="1"/>
  </w:num>
  <w:num w:numId="22">
    <w:abstractNumId w:val="0"/>
  </w:num>
  <w:num w:numId="23">
    <w:abstractNumId w:val="7"/>
  </w:num>
  <w:num w:numId="24">
    <w:abstractNumId w:val="10"/>
  </w:num>
  <w:num w:numId="25">
    <w:abstractNumId w:val="5"/>
  </w:num>
  <w:num w:numId="26">
    <w:abstractNumId w:val="6"/>
  </w:num>
  <w:num w:numId="27">
    <w:abstractNumId w:val="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ttachedTemplate r:id="rId1"/>
  <w:defaultTabStop w:val="720"/>
  <w:evenAndOddHeaders/>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099"/>
    <w:rsid w:val="00014433"/>
    <w:rsid w:val="000B29DB"/>
    <w:rsid w:val="000D64CD"/>
    <w:rsid w:val="000E0A69"/>
    <w:rsid w:val="00124A93"/>
    <w:rsid w:val="00152206"/>
    <w:rsid w:val="0016205B"/>
    <w:rsid w:val="00174D00"/>
    <w:rsid w:val="00213FC8"/>
    <w:rsid w:val="00243393"/>
    <w:rsid w:val="002731C1"/>
    <w:rsid w:val="002F3667"/>
    <w:rsid w:val="00380513"/>
    <w:rsid w:val="003B4519"/>
    <w:rsid w:val="003D2099"/>
    <w:rsid w:val="00414319"/>
    <w:rsid w:val="00431376"/>
    <w:rsid w:val="005C59E8"/>
    <w:rsid w:val="005E1895"/>
    <w:rsid w:val="00651E64"/>
    <w:rsid w:val="00687B83"/>
    <w:rsid w:val="006D76B2"/>
    <w:rsid w:val="006E1217"/>
    <w:rsid w:val="007E2B7D"/>
    <w:rsid w:val="00826320"/>
    <w:rsid w:val="00842E7F"/>
    <w:rsid w:val="00864253"/>
    <w:rsid w:val="00875C8B"/>
    <w:rsid w:val="00892EE0"/>
    <w:rsid w:val="009233A7"/>
    <w:rsid w:val="00924100"/>
    <w:rsid w:val="00937FB7"/>
    <w:rsid w:val="00941310"/>
    <w:rsid w:val="0095415C"/>
    <w:rsid w:val="009E3702"/>
    <w:rsid w:val="00A0765C"/>
    <w:rsid w:val="00A35E43"/>
    <w:rsid w:val="00A60B0C"/>
    <w:rsid w:val="00A65B0E"/>
    <w:rsid w:val="00AA7998"/>
    <w:rsid w:val="00AD746C"/>
    <w:rsid w:val="00AF3BDD"/>
    <w:rsid w:val="00B1493A"/>
    <w:rsid w:val="00C01611"/>
    <w:rsid w:val="00D17F3E"/>
    <w:rsid w:val="00D5483F"/>
    <w:rsid w:val="00E20741"/>
    <w:rsid w:val="00E3548E"/>
    <w:rsid w:val="00E86E59"/>
    <w:rsid w:val="00EC2C4D"/>
    <w:rsid w:val="00ED0DCC"/>
    <w:rsid w:val="00F92C3E"/>
    <w:rsid w:val="00FD11EF"/>
    <w:rsid w:val="00FF09F6"/>
    <w:rsid w:val="00FF5E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D67AF"/>
  <w15:docId w15:val="{D007E650-D49F-40C1-8318-AE0D756B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unhideWhenUsed/>
    <w:qFormat/>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unhideWhenUsed/>
    <w:qFormat/>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rPr>
      <w:rFonts w:cs="Times New Roman"/>
      <w:b/>
      <w:color w:val="000000" w:themeColor="text1"/>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Pr>
      <w:rFonts w:cs="Times New Roman"/>
      <w:b/>
      <w:color w:val="DD8047" w:themeColor="accent2"/>
      <w:sz w:val="23"/>
      <w:szCs w:val="2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DD8047" w:themeColor="accent2"/>
      <w:spacing w:val="50"/>
      <w:sz w:val="24"/>
      <w:lang w:eastAsia="ja-JP"/>
    </w:rPr>
  </w:style>
  <w:style w:type="paragraph" w:styleId="Title">
    <w:name w:val="Title"/>
    <w:basedOn w:val="Normal"/>
    <w:link w:val="TitleChar"/>
    <w:uiPriority w:val="10"/>
    <w:qFormat/>
    <w:pPr>
      <w:spacing w:after="0" w:line="240" w:lineRule="auto"/>
    </w:pPr>
    <w:rPr>
      <w:color w:val="775F55" w:themeColor="text2"/>
      <w:sz w:val="72"/>
      <w:szCs w:val="48"/>
    </w:rPr>
  </w:style>
  <w:style w:type="character" w:customStyle="1" w:styleId="TitleChar">
    <w:name w:val="Title Char"/>
    <w:basedOn w:val="DefaultParagraphFont"/>
    <w:link w:val="Title"/>
    <w:uiPriority w:val="10"/>
    <w:rPr>
      <w:rFonts w:cs="Times New Roman"/>
      <w:color w:val="775F55"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775F55" w:themeColor="text2"/>
      <w:spacing w:val="10"/>
      <w:sz w:val="23"/>
    </w:rPr>
  </w:style>
  <w:style w:type="character" w:customStyle="1" w:styleId="Heading4Char">
    <w:name w:val="Heading 4 Char"/>
    <w:basedOn w:val="DefaultParagraphFont"/>
    <w:link w:val="Heading4"/>
    <w:uiPriority w:val="9"/>
    <w:semiHidden/>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5AB81" w:themeColor="accent3"/>
      <w:spacing w:val="40"/>
      <w:sz w:val="20"/>
      <w:szCs w:val="20"/>
      <w:lang w:eastAsia="ja-JP"/>
    </w:rPr>
  </w:style>
  <w:style w:type="character" w:styleId="Hyperlink">
    <w:name w:val="Hyperlink"/>
    <w:basedOn w:val="DefaultParagraphFont"/>
    <w:uiPriority w:val="99"/>
    <w:semiHidden/>
    <w:unhideWhenUsed/>
    <w:rPr>
      <w:color w:val="F7B615" w:themeColor="hyperlink"/>
      <w:u w:val="single"/>
    </w:rPr>
  </w:style>
  <w:style w:type="character" w:styleId="IntenseEmphasis">
    <w:name w:val="Intense Emphasis"/>
    <w:basedOn w:val="DefaultParagraphFont"/>
    <w:uiPriority w:val="21"/>
    <w:qFormat/>
    <w:rPr>
      <w:rFonts w:asciiTheme="minorHAnsi" w:hAnsiTheme="minorHAnsi"/>
      <w:b/>
      <w:dstrike w:val="0"/>
      <w:color w:val="DD8047"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18"/>
      </w:numPr>
    </w:pPr>
    <w:rPr>
      <w:sz w:val="24"/>
    </w:rPr>
  </w:style>
  <w:style w:type="paragraph" w:styleId="ListBullet2">
    <w:name w:val="List Bullet 2"/>
    <w:basedOn w:val="Normal"/>
    <w:uiPriority w:val="36"/>
    <w:unhideWhenUsed/>
    <w:qFormat/>
    <w:pPr>
      <w:numPr>
        <w:numId w:val="19"/>
      </w:numPr>
    </w:pPr>
    <w:rPr>
      <w:color w:val="94B6D2" w:themeColor="accent1"/>
    </w:rPr>
  </w:style>
  <w:style w:type="paragraph" w:styleId="ListBullet3">
    <w:name w:val="List Bullet 3"/>
    <w:basedOn w:val="Normal"/>
    <w:uiPriority w:val="36"/>
    <w:unhideWhenUsed/>
    <w:qFormat/>
    <w:pPr>
      <w:numPr>
        <w:numId w:val="20"/>
      </w:numPr>
    </w:pPr>
    <w:rPr>
      <w:color w:val="DD8047" w:themeColor="accent2"/>
    </w:rPr>
  </w:style>
  <w:style w:type="paragraph" w:styleId="ListBullet4">
    <w:name w:val="List Bullet 4"/>
    <w:basedOn w:val="Normal"/>
    <w:uiPriority w:val="36"/>
    <w:unhideWhenUsed/>
    <w:qFormat/>
    <w:pPr>
      <w:numPr>
        <w:numId w:val="21"/>
      </w:numPr>
    </w:pPr>
    <w:rPr>
      <w:caps/>
      <w:spacing w:val="4"/>
    </w:rPr>
  </w:style>
  <w:style w:type="paragraph" w:styleId="ListBullet5">
    <w:name w:val="List Bullet 5"/>
    <w:basedOn w:val="Normal"/>
    <w:uiPriority w:val="36"/>
    <w:unhideWhenUsed/>
    <w:qFormat/>
    <w:pPr>
      <w:numPr>
        <w:numId w:val="22"/>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uiPriority w:val="99"/>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775F55" w:themeColor="text2"/>
      <w:spacing w:val="6"/>
    </w:rPr>
  </w:style>
  <w:style w:type="character" w:customStyle="1" w:styleId="QuoteChar">
    <w:name w:val="Quote Char"/>
    <w:basedOn w:val="DefaultParagraphFont"/>
    <w:link w:val="Quote"/>
    <w:uiPriority w:val="29"/>
    <w:rPr>
      <w:rFonts w:cs="Times New Roman"/>
      <w:i/>
      <w:smallCaps/>
      <w:color w:val="775F55" w:themeColor="text2"/>
      <w:spacing w:val="6"/>
      <w:sz w:val="23"/>
      <w:szCs w:val="20"/>
      <w:lang w:eastAsia="ja-JP"/>
    </w:rPr>
  </w:style>
  <w:style w:type="character" w:styleId="Strong">
    <w:name w:val="Strong"/>
    <w:uiPriority w:val="22"/>
    <w:qFormat/>
    <w:rPr>
      <w:rFonts w:asciiTheme="minorHAnsi" w:hAnsiTheme="minorHAnsi"/>
      <w:b/>
      <w:color w:val="DD8047"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775F55" w:themeColor="text2"/>
      <w:sz w:val="23"/>
    </w:r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94B6D2" w:themeColor="accent1"/>
      </w:pBdr>
    </w:pPr>
    <w:rPr>
      <w:color w:val="775F55" w:themeColor="text2"/>
      <w:sz w:val="20"/>
    </w:rPr>
  </w:style>
  <w:style w:type="paragraph" w:customStyle="1" w:styleId="FooterOdd">
    <w:name w:val="Footer Odd"/>
    <w:basedOn w:val="Normal"/>
    <w:unhideWhenUsed/>
    <w:qFormat/>
    <w:pPr>
      <w:pBdr>
        <w:top w:val="single" w:sz="4" w:space="1" w:color="94B6D2" w:themeColor="accent1"/>
      </w:pBdr>
      <w:jc w:val="right"/>
    </w:pPr>
    <w:rPr>
      <w:color w:val="775F55" w:themeColor="text2"/>
      <w:sz w:val="20"/>
    </w:rPr>
  </w:style>
  <w:style w:type="paragraph" w:customStyle="1" w:styleId="HeaderEven">
    <w:name w:val="Header Even"/>
    <w:basedOn w:val="Normal"/>
    <w:unhideWhenUsed/>
    <w:qFormat/>
    <w:pPr>
      <w:pBdr>
        <w:bottom w:val="single" w:sz="4" w:space="1" w:color="94B6D2" w:themeColor="accent1"/>
      </w:pBdr>
      <w:spacing w:after="0" w:line="240" w:lineRule="auto"/>
    </w:pPr>
    <w:rPr>
      <w:rFonts w:eastAsia="Times New Roman"/>
      <w:b/>
      <w:color w:val="775F55" w:themeColor="text2"/>
      <w:sz w:val="20"/>
      <w:szCs w:val="24"/>
      <w:lang w:eastAsia="ko-KR"/>
    </w:rPr>
  </w:style>
  <w:style w:type="paragraph" w:customStyle="1" w:styleId="HeaderOdd">
    <w:name w:val="Header Odd"/>
    <w:basedOn w:val="Normal"/>
    <w:unhideWhenUsed/>
    <w:qFormat/>
    <w:pPr>
      <w:pBdr>
        <w:bottom w:val="single" w:sz="4" w:space="1" w:color="94B6D2" w:themeColor="accent1"/>
      </w:pBdr>
      <w:spacing w:after="0" w:line="240" w:lineRule="auto"/>
      <w:jc w:val="right"/>
    </w:pPr>
    <w:rPr>
      <w:rFonts w:eastAsia="Times New Roman"/>
      <w:b/>
      <w:color w:val="775F55" w:themeColor="text2"/>
      <w:sz w:val="20"/>
      <w:szCs w:val="24"/>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cr\AppData\Roaming\Microsoft\Templates\Business%20report%20(Median%20them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2017-05-24T00:00:00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report (Median theme)</Template>
  <TotalTime>325</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GREAT MAPLESTEAD PARISH COUNCIL                                            CLERK’S REPORT                             MARCH 2020</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MAPLESTEAD PARISH COUNCIL                                            CLERK’S REPORT                             MARCH 2020</dc:title>
  <dc:subject>Report to Full Council</dc:subject>
  <dc:creator>Ann Crisp</dc:creator>
  <cp:keywords/>
  <cp:lastModifiedBy>Ann Crisp</cp:lastModifiedBy>
  <cp:revision>11</cp:revision>
  <dcterms:created xsi:type="dcterms:W3CDTF">2020-06-03T08:27:00Z</dcterms:created>
  <dcterms:modified xsi:type="dcterms:W3CDTF">2020-06-03T13:52:00Z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